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75B" w:rsidRDefault="005A6133" w:rsidP="005A6133">
      <w:pPr>
        <w:spacing w:line="600" w:lineRule="exact"/>
        <w:ind w:firstLineChars="200" w:firstLine="643"/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5A6133">
        <w:rPr>
          <w:rFonts w:ascii="黑体" w:eastAsia="黑体" w:hAnsi="黑体" w:cs="宋体" w:hint="eastAsia"/>
          <w:b/>
          <w:bCs/>
          <w:sz w:val="32"/>
          <w:szCs w:val="32"/>
        </w:rPr>
        <w:t>电子电气工程学院“三全育人”试行方案</w:t>
      </w:r>
    </w:p>
    <w:p w:rsidR="005A6133" w:rsidRPr="005A6133" w:rsidRDefault="005A6133" w:rsidP="005A6133">
      <w:pPr>
        <w:spacing w:line="600" w:lineRule="exact"/>
        <w:ind w:firstLineChars="200" w:firstLine="643"/>
        <w:jc w:val="center"/>
        <w:rPr>
          <w:rFonts w:ascii="黑体" w:eastAsia="黑体" w:hAnsi="黑体" w:cs="宋体" w:hint="eastAsia"/>
          <w:b/>
          <w:bCs/>
          <w:sz w:val="32"/>
          <w:szCs w:val="32"/>
        </w:rPr>
      </w:pP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FangSong" w:eastAsia="FangSong" w:hAnsi="FangSong"/>
          <w:color w:val="313131"/>
          <w:sz w:val="28"/>
          <w:szCs w:val="28"/>
        </w:rPr>
      </w:pPr>
      <w:r>
        <w:rPr>
          <w:rFonts w:ascii="仿宋_GB2312" w:eastAsia="仿宋" w:hAnsi="微软雅黑" w:hint="eastAsia"/>
          <w:color w:val="313131"/>
          <w:szCs w:val="32"/>
        </w:rPr>
        <w:t xml:space="preserve"> </w:t>
      </w:r>
      <w:r>
        <w:rPr>
          <w:rFonts w:ascii="仿宋_GB2312" w:eastAsia="仿宋" w:hAnsi="微软雅黑"/>
          <w:color w:val="313131"/>
          <w:szCs w:val="32"/>
        </w:rPr>
        <w:t xml:space="preserve"> </w:t>
      </w:r>
      <w:r w:rsidRPr="005A6133">
        <w:rPr>
          <w:rFonts w:ascii="FangSong" w:eastAsia="FangSong" w:hAnsi="FangSong"/>
          <w:color w:val="313131"/>
          <w:sz w:val="28"/>
          <w:szCs w:val="28"/>
        </w:rPr>
        <w:t xml:space="preserve"> 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 xml:space="preserve"> 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为全面贯彻落</w:t>
      </w:r>
      <w:proofErr w:type="gramStart"/>
      <w:r w:rsidRPr="005A6133">
        <w:rPr>
          <w:rFonts w:ascii="FangSong" w:eastAsia="FangSong" w:hAnsi="FangSong" w:hint="eastAsia"/>
          <w:color w:val="313131"/>
          <w:sz w:val="28"/>
          <w:szCs w:val="28"/>
        </w:rPr>
        <w:t>实习近</w:t>
      </w:r>
      <w:proofErr w:type="gramEnd"/>
      <w:r w:rsidRPr="005A6133">
        <w:rPr>
          <w:rFonts w:ascii="FangSong" w:eastAsia="FangSong" w:hAnsi="FangSong" w:hint="eastAsia"/>
          <w:color w:val="313131"/>
          <w:sz w:val="28"/>
          <w:szCs w:val="28"/>
        </w:rPr>
        <w:t>平新时代中国特色社会主义思想和党的十九大精神，进一步贯彻落实全国高校思想政治工作会议和《中共中央国务院关于加强和改进新形势下高校思想政治工作的意见》精神，全面实施《高校思想政治工作质量提升工程实施纲要》，提高我院思想教育工作质量，特制定《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电子电气工程学院“三全育人”试行方案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》。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b/>
          <w:bCs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一、总体目标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color w:val="313131"/>
          <w:sz w:val="28"/>
          <w:szCs w:val="28"/>
        </w:rPr>
        <w:t>以习近平新时代中国特色社会主义思想为指导，紧紧围绕“一流党建引领一流学院建设”目标、坚持和加强党委全面领导，以立德树人为根本，以社会主义核心价值观为引领，以全面提高人才培养能力为关键，切实提高思想政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治教育工作亲和力和针对性，强化基础、突出特色点、建立制度、补齐短板，形成全员全过程全方位育人格局，着力培养德智体美全面发展的社会主义建设者和接班人。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b/>
          <w:bCs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二、重点要求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color w:val="313131"/>
          <w:sz w:val="28"/>
          <w:szCs w:val="28"/>
        </w:rPr>
        <w:t>1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、以立德</w:t>
      </w:r>
      <w:proofErr w:type="gramStart"/>
      <w:r w:rsidRPr="005A6133">
        <w:rPr>
          <w:rFonts w:ascii="FangSong" w:eastAsia="FangSong" w:hAnsi="FangSong" w:hint="eastAsia"/>
          <w:color w:val="313131"/>
          <w:sz w:val="28"/>
          <w:szCs w:val="28"/>
        </w:rPr>
        <w:t>树人总</w:t>
      </w:r>
      <w:proofErr w:type="gramEnd"/>
      <w:r w:rsidRPr="005A6133">
        <w:rPr>
          <w:rFonts w:ascii="FangSong" w:eastAsia="FangSong" w:hAnsi="FangSong" w:hint="eastAsia"/>
          <w:color w:val="313131"/>
          <w:sz w:val="28"/>
          <w:szCs w:val="28"/>
        </w:rPr>
        <w:t>目标引领育人改革。立足新时代，科学认识把握思想政治工作的定位，整合各方育人资源，把促进学生成长作为学院一切工作的出发点，将思想政治工作融入办学全过程，落实到教职员工职责规范之中。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color w:val="313131"/>
          <w:sz w:val="28"/>
          <w:szCs w:val="28"/>
        </w:rPr>
        <w:t>2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、构建“十大育人”一体化育人体系。从体制机制完善、项目带动引领、队伍配齐建强、组织条件保障等方面进行系统设计。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lastRenderedPageBreak/>
        <w:t>以课程育人、科研育人、实践育人、文化育人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、网络育人、心理育人、管理育人、服务育人、资助育人、组织育人等“十大育人”体系为基础，推动思想政治工作融入人才培养各环节，根据各项工作内在的育人元素和育人逻辑，结合学院特点特色，夯实育人基础，丰富育人内涵，打造育人品牌，树立构建一体化育人体系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color w:val="313131"/>
          <w:sz w:val="28"/>
          <w:szCs w:val="28"/>
        </w:rPr>
        <w:t>3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、打通育人“最后一公里”。通过挖掘各群体、各岗位的育人元素，并作为职责要求和考核内容，融入整体制度设计和具体操作环节，着力打通学校</w:t>
      </w:r>
      <w:proofErr w:type="gramStart"/>
      <w:r w:rsidRPr="005A6133">
        <w:rPr>
          <w:rFonts w:ascii="FangSong" w:eastAsia="FangSong" w:hAnsi="FangSong" w:hint="eastAsia"/>
          <w:color w:val="313131"/>
          <w:sz w:val="28"/>
          <w:szCs w:val="28"/>
        </w:rPr>
        <w:t>高思想</w:t>
      </w:r>
      <w:proofErr w:type="gramEnd"/>
      <w:r w:rsidRPr="005A6133">
        <w:rPr>
          <w:rFonts w:ascii="FangSong" w:eastAsia="FangSong" w:hAnsi="FangSong" w:hint="eastAsia"/>
          <w:color w:val="313131"/>
          <w:sz w:val="28"/>
          <w:szCs w:val="28"/>
        </w:rPr>
        <w:t>政治工作存在的盲区、断点，真正把各项工作的重音和目标落在育人效果上，形成可转化、可推广的一体化育人制度和模式。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b/>
          <w:bCs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三、建设举措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1</w:t>
      </w: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、统筹推进课程育人。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1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）制定并落实以“课程思政”为目标的课堂教学改革方案，</w:t>
      </w:r>
      <w:proofErr w:type="gramStart"/>
      <w:r w:rsidRPr="005A6133">
        <w:rPr>
          <w:rFonts w:ascii="FangSong" w:eastAsia="FangSong" w:hAnsi="FangSong" w:hint="eastAsia"/>
          <w:color w:val="313131"/>
          <w:sz w:val="28"/>
          <w:szCs w:val="28"/>
        </w:rPr>
        <w:t>挖掘思政元素</w:t>
      </w:r>
      <w:proofErr w:type="gramEnd"/>
      <w:r w:rsidRPr="005A6133">
        <w:rPr>
          <w:rFonts w:ascii="FangSong" w:eastAsia="FangSong" w:hAnsi="FangSong" w:hint="eastAsia"/>
          <w:color w:val="313131"/>
          <w:sz w:val="28"/>
          <w:szCs w:val="28"/>
        </w:rPr>
        <w:t>，优化课程设置，完善教学设计，加强教学管理。推进</w:t>
      </w:r>
      <w:proofErr w:type="gramStart"/>
      <w:r w:rsidRPr="005A6133">
        <w:rPr>
          <w:rFonts w:ascii="FangSong" w:eastAsia="FangSong" w:hAnsi="FangSong" w:hint="eastAsia"/>
          <w:color w:val="313131"/>
          <w:sz w:val="28"/>
          <w:szCs w:val="28"/>
        </w:rPr>
        <w:t>课程思政的</w:t>
      </w:r>
      <w:proofErr w:type="gramEnd"/>
      <w:r w:rsidRPr="005A6133">
        <w:rPr>
          <w:rFonts w:ascii="FangSong" w:eastAsia="FangSong" w:hAnsi="FangSong" w:hint="eastAsia"/>
          <w:color w:val="313131"/>
          <w:sz w:val="28"/>
          <w:szCs w:val="28"/>
        </w:rPr>
        <w:t>立项和研究，从专业主干课程逐渐覆盖到所有专业课程。（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2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进一步加强思想政治理论课程、人文素养等课程建设。做好《形势政策》《大学生就业指导》等必修课的教学工作，同时鼓励辅导员根据自身专业特点面向学生开设提高思想品德、人文素养的相关选修课程，守牢校园各类思想文化阵地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2</w:t>
      </w: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、着力加强科研育人。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1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）发挥科研育人功能，将科研成果和学生的创新实践、学生的课堂教学紧密结合，积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极推进“大项目课程内容改革”。（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2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）鼓励教师带领学生参与科研项目的研究和科技类比赛的开展，推动实施科研创新团队培育支持计划。（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3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）优化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lastRenderedPageBreak/>
        <w:t>科研管理制度，明确科研育人功能，大力推进产学研合作协同育人计划。（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4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）学院每年定期要在学生中开设有关科学精神、学术诚信、创新意识、团队协作等方面的专题讲座。加大学术名家、优秀学术团队先进事迹的宣传教育力度。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3</w:t>
      </w: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、扎实推动实践育人。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1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）加强创新创业教育，设立专门课程，健全课程体系，支持学生成立创新创业类社团，加大学院“创新孵化基地”“创新孵化项目库”建设力度。（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2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）强化创新能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力培养，积极开展“挑战杯”课外学术科技作品竞赛、“创青春”创业大赛、以及数学建模大赛、电子设计竞赛等专业赛事，建立创新竞赛、科普活动、学术论文、发明专利四位一体的培养平台。（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3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）深入开展好大学生暑期社会实践等传统经典项目。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4</w:t>
      </w: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、深入推进文化育人。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1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）实施“示范党课”“先锋讲坛”等文化建设活动。（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2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）每年评选“感动电院人物”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 xml:space="preserve"> 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“十大岗位先锋”“电院发展贡献奖”等评选表彰和集中展示活动，让师生学有榜样、做有标杆，塑造向上向善的学院新风。（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3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）以二期大楼建设为依托，开展大楼文化建设。通过院史长廊、科技艺术长廊、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主题教育展示墙的建设，不断深化</w:t>
      </w:r>
      <w:proofErr w:type="gramStart"/>
      <w:r w:rsidRPr="005A6133">
        <w:rPr>
          <w:rFonts w:ascii="FangSong" w:eastAsia="FangSong" w:hAnsi="FangSong" w:hint="eastAsia"/>
          <w:color w:val="313131"/>
          <w:sz w:val="28"/>
          <w:szCs w:val="28"/>
        </w:rPr>
        <w:t>电院精神</w:t>
      </w:r>
      <w:proofErr w:type="gramEnd"/>
      <w:r w:rsidRPr="005A6133">
        <w:rPr>
          <w:rFonts w:ascii="FangSong" w:eastAsia="FangSong" w:hAnsi="FangSong" w:hint="eastAsia"/>
          <w:color w:val="313131"/>
          <w:sz w:val="28"/>
          <w:szCs w:val="28"/>
        </w:rPr>
        <w:t>传承教育，切实增强师生的文化认同与文化自信，筑牢师生共同的精神家园。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5</w:t>
      </w: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、创新推动网络育人。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1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）加强工作统筹，建设思想政治工作网，打造信息发布、工作交流和数据分析平台，优化“风尚电气”公众号。（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2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）开展“大学生网络文化节”等网络文化建设活动，推广展示一批“网络名篇名作”。（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3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）培养网络力量，建设一支政治强、业务精、作风硬的网络及宣传工作队伍。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lastRenderedPageBreak/>
        <w:t>6</w:t>
      </w: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、大力促进心理育人。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1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）加强知识教育，开发建设《大学生心理健康》等在线课程，实现心理健康知识教育全覆盖。（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2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）加强辅导员心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理专业培训，加强各级心理队伍培训，实现班级全覆盖。（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3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）加强心理健康教育，扎实开展生命教育、感恩教育、适应教育、和谐教育。（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4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）加强心理咨询服务</w:t>
      </w:r>
      <w:proofErr w:type="gramStart"/>
      <w:r w:rsidRPr="005A6133">
        <w:rPr>
          <w:rFonts w:ascii="FangSong" w:eastAsia="FangSong" w:hAnsi="FangSong" w:hint="eastAsia"/>
          <w:color w:val="313131"/>
          <w:sz w:val="28"/>
          <w:szCs w:val="28"/>
        </w:rPr>
        <w:t>及危机</w:t>
      </w:r>
      <w:proofErr w:type="gramEnd"/>
      <w:r w:rsidRPr="005A6133">
        <w:rPr>
          <w:rFonts w:ascii="FangSong" w:eastAsia="FangSong" w:hAnsi="FangSong" w:hint="eastAsia"/>
          <w:color w:val="313131"/>
          <w:sz w:val="28"/>
          <w:szCs w:val="28"/>
        </w:rPr>
        <w:t>预防干预，建立学校、学院、班级、宿舍“四级”预警防控体系，完善心理危机干预工作预案，建立转介诊疗机制，提升工作前瞻性、针对性。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7</w:t>
      </w: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、切实强化管理育人。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1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）加大管理人员的业务培训，挖掘管理岗位的育人元素。明确管理育人的内容和路径，丰富完善不同岗位、不同群体公约体系，引导师生培育自觉、强化自律。（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2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）健全依法治校、管理育人制度体系，制（修）</w:t>
      </w:r>
      <w:proofErr w:type="gramStart"/>
      <w:r w:rsidRPr="005A6133">
        <w:rPr>
          <w:rFonts w:ascii="FangSong" w:eastAsia="FangSong" w:hAnsi="FangSong" w:hint="eastAsia"/>
          <w:color w:val="313131"/>
          <w:sz w:val="28"/>
          <w:szCs w:val="28"/>
        </w:rPr>
        <w:t>订完善</w:t>
      </w:r>
      <w:proofErr w:type="gramEnd"/>
      <w:r w:rsidRPr="005A6133">
        <w:rPr>
          <w:rFonts w:ascii="FangSong" w:eastAsia="FangSong" w:hAnsi="FangSong" w:hint="eastAsia"/>
          <w:color w:val="313131"/>
          <w:sz w:val="28"/>
          <w:szCs w:val="28"/>
        </w:rPr>
        <w:t>学校教育规章制度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，保障师生员工合法权益。（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3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建立干部考核评价、激励监督机制，重视考核结果运用。建立健全师德考核制度，贯彻落实到位。把育人功能发挥纳入管理岗位考核评价范围，作为评奖评优条件，引导管理干部用良好的管理模式和管理行为影响和培养学生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8</w:t>
      </w: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、不断深化服务育人。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把解决实际问题与解决思想问题结合起来，（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1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）加大服务师生的信息化建设投入，研究优化管理流程。提高服务水平和服务效能。建设“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5G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校园”综合信息系统，充分满足师生学习、生活、工作中的合理需求。（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2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）加强志愿服务基地的建设，在关心人、帮助人、服务人中实现自我教育与成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长。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9</w:t>
      </w: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、全面推进资助育人。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1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）建立资助管理规范，资助评审规范，完善勤工助学管理办法，着力培养学生自强不息、创新创业的进取精神。（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2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）精准认定家庭经济困难学生，健全四级资助认定工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lastRenderedPageBreak/>
        <w:t>作机制，采用假期家访、大数据分析和谈心谈话等方式，合理确定认定标准，建立家庭经济困难学生档案，实施动态管理。（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3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）在国家助学金申请发放环节，深入开展励志教育和感恩教育，培养学生爱党爱国爱社会主义意识。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10</w:t>
      </w: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、积极优化组织育人。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1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）实施教师党支部书记“双带头人”培育工程，培育建设一批先进基层党组织，培养选树一批优秀共产党员、优秀党务工作者，创建示范性网上党建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园地，推选展示一批党的建设优秀工作案例。（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2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）发挥各类群团组织的育人纽带功能，推动工会、共青团、学生会等群团组织创新组织动员，引领教育的载体与形式，培育建设</w:t>
      </w:r>
      <w:proofErr w:type="gramStart"/>
      <w:r w:rsidRPr="005A6133">
        <w:rPr>
          <w:rFonts w:ascii="FangSong" w:eastAsia="FangSong" w:hAnsi="FangSong" w:hint="eastAsia"/>
          <w:color w:val="313131"/>
          <w:sz w:val="28"/>
          <w:szCs w:val="28"/>
        </w:rPr>
        <w:t>一</w:t>
      </w:r>
      <w:proofErr w:type="gramEnd"/>
      <w:r w:rsidRPr="005A6133">
        <w:rPr>
          <w:rFonts w:ascii="FangSong" w:eastAsia="FangSong" w:hAnsi="FangSong" w:hint="eastAsia"/>
          <w:color w:val="313131"/>
          <w:sz w:val="28"/>
          <w:szCs w:val="28"/>
        </w:rPr>
        <w:t>批文明社团、文明班级、文明宿舍。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b/>
          <w:bCs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b/>
          <w:bCs/>
          <w:color w:val="313131"/>
          <w:sz w:val="28"/>
          <w:szCs w:val="28"/>
        </w:rPr>
        <w:t>四、组织保障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color w:val="313131"/>
          <w:sz w:val="28"/>
          <w:szCs w:val="28"/>
        </w:rPr>
        <w:t>学院成立“三全育人”工作领导小组，加强工作统筹、决策咨询和评估督导。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color w:val="313131"/>
          <w:sz w:val="28"/>
          <w:szCs w:val="28"/>
        </w:rPr>
        <w:t>组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 xml:space="preserve"> </w:t>
      </w:r>
      <w:r w:rsidRPr="005A6133">
        <w:rPr>
          <w:rFonts w:ascii="Calibri" w:eastAsia="FangSong" w:hAnsi="Calibri" w:cs="Calibri"/>
          <w:color w:val="313131"/>
          <w:sz w:val="28"/>
          <w:szCs w:val="28"/>
        </w:rPr>
        <w:t> 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长：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 xml:space="preserve"> 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书记、院长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firstLine="64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color w:val="313131"/>
          <w:sz w:val="28"/>
          <w:szCs w:val="28"/>
        </w:rPr>
        <w:t>副组长：副书记、副院长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 xml:space="preserve"> </w:t>
      </w:r>
    </w:p>
    <w:p w:rsidR="00B9275B" w:rsidRPr="005A6133" w:rsidRDefault="005A6133" w:rsidP="005A6133">
      <w:pPr>
        <w:pStyle w:val="a7"/>
        <w:shd w:val="clear" w:color="auto" w:fill="FFFFFF"/>
        <w:spacing w:before="0" w:beforeAutospacing="0" w:after="0" w:afterAutospacing="0" w:line="600" w:lineRule="exact"/>
        <w:ind w:left="1918" w:hanging="1280"/>
        <w:rPr>
          <w:rFonts w:ascii="FangSong" w:eastAsia="FangSong" w:hAnsi="FangSong"/>
          <w:color w:val="313131"/>
          <w:sz w:val="28"/>
          <w:szCs w:val="28"/>
        </w:rPr>
      </w:pPr>
      <w:r w:rsidRPr="005A6133">
        <w:rPr>
          <w:rFonts w:ascii="FangSong" w:eastAsia="FangSong" w:hAnsi="FangSong" w:hint="eastAsia"/>
          <w:color w:val="313131"/>
          <w:sz w:val="28"/>
          <w:szCs w:val="28"/>
        </w:rPr>
        <w:t>成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 xml:space="preserve"> </w:t>
      </w:r>
      <w:r w:rsidRPr="005A6133">
        <w:rPr>
          <w:rFonts w:ascii="Calibri" w:eastAsia="FangSong" w:hAnsi="Calibri" w:cs="Calibri"/>
          <w:color w:val="313131"/>
          <w:sz w:val="28"/>
          <w:szCs w:val="28"/>
        </w:rPr>
        <w:t> 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员：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 xml:space="preserve"> </w:t>
      </w:r>
      <w:r w:rsidRPr="005A6133">
        <w:rPr>
          <w:rFonts w:ascii="FangSong" w:eastAsia="FangSong" w:hAnsi="FangSong" w:hint="eastAsia"/>
          <w:color w:val="313131"/>
          <w:sz w:val="28"/>
          <w:szCs w:val="28"/>
        </w:rPr>
        <w:t>院办主任、学办主任、支部书记</w:t>
      </w:r>
    </w:p>
    <w:p w:rsidR="00B9275B" w:rsidRPr="005A6133" w:rsidRDefault="005A6133" w:rsidP="005A6133">
      <w:pPr>
        <w:spacing w:line="600" w:lineRule="exact"/>
        <w:rPr>
          <w:rFonts w:ascii="FangSong" w:eastAsia="FangSong" w:hAnsi="FangSong" w:cs="宋体"/>
          <w:sz w:val="28"/>
          <w:szCs w:val="28"/>
        </w:rPr>
      </w:pPr>
      <w:r w:rsidRPr="005A6133">
        <w:rPr>
          <w:rFonts w:ascii="FangSong" w:eastAsia="FangSong" w:hAnsi="FangSong" w:cs="宋体" w:hint="eastAsia"/>
          <w:sz w:val="28"/>
          <w:szCs w:val="28"/>
        </w:rPr>
        <w:t xml:space="preserve">    </w:t>
      </w:r>
    </w:p>
    <w:p w:rsidR="00B9275B" w:rsidRPr="005A6133" w:rsidRDefault="00B9275B" w:rsidP="005A6133">
      <w:pPr>
        <w:spacing w:line="600" w:lineRule="exact"/>
        <w:rPr>
          <w:rFonts w:ascii="FangSong" w:eastAsia="FangSong" w:hAnsi="FangSong" w:cs="宋体"/>
          <w:sz w:val="28"/>
          <w:szCs w:val="28"/>
        </w:rPr>
      </w:pPr>
    </w:p>
    <w:p w:rsidR="00B9275B" w:rsidRPr="005A6133" w:rsidRDefault="00B9275B" w:rsidP="005A6133">
      <w:pPr>
        <w:spacing w:line="600" w:lineRule="exact"/>
        <w:rPr>
          <w:rFonts w:ascii="FangSong" w:eastAsia="FangSong" w:hAnsi="FangSong" w:cs="宋体"/>
          <w:sz w:val="28"/>
          <w:szCs w:val="28"/>
        </w:rPr>
      </w:pPr>
    </w:p>
    <w:p w:rsidR="00B9275B" w:rsidRPr="005A6133" w:rsidRDefault="00B9275B" w:rsidP="005A6133">
      <w:pPr>
        <w:spacing w:line="600" w:lineRule="exact"/>
        <w:rPr>
          <w:rFonts w:ascii="FangSong" w:eastAsia="FangSong" w:hAnsi="FangSong" w:cs="宋体"/>
          <w:sz w:val="28"/>
          <w:szCs w:val="28"/>
        </w:rPr>
      </w:pPr>
    </w:p>
    <w:p w:rsidR="00B9275B" w:rsidRPr="005A6133" w:rsidRDefault="005A6133" w:rsidP="005A6133">
      <w:pPr>
        <w:spacing w:line="600" w:lineRule="exact"/>
        <w:jc w:val="right"/>
        <w:rPr>
          <w:rFonts w:ascii="FangSong" w:eastAsia="FangSong" w:hAnsi="FangSong"/>
          <w:sz w:val="28"/>
          <w:szCs w:val="28"/>
        </w:rPr>
      </w:pPr>
      <w:r w:rsidRPr="005A6133">
        <w:rPr>
          <w:rFonts w:ascii="FangSong" w:eastAsia="FangSong" w:hAnsi="FangSong" w:hint="eastAsia"/>
          <w:sz w:val="28"/>
          <w:szCs w:val="28"/>
        </w:rPr>
        <w:t>电子电气工程学院党委</w:t>
      </w:r>
    </w:p>
    <w:p w:rsidR="00B9275B" w:rsidRPr="005A6133" w:rsidRDefault="005A6133" w:rsidP="005A6133">
      <w:pPr>
        <w:spacing w:line="600" w:lineRule="exact"/>
        <w:jc w:val="right"/>
        <w:rPr>
          <w:rFonts w:ascii="FangSong" w:eastAsia="FangSong" w:hAnsi="FangSong"/>
          <w:sz w:val="28"/>
          <w:szCs w:val="28"/>
        </w:rPr>
      </w:pPr>
      <w:bookmarkStart w:id="0" w:name="_GoBack"/>
      <w:bookmarkEnd w:id="0"/>
      <w:r w:rsidRPr="005A6133">
        <w:rPr>
          <w:rFonts w:ascii="FangSong" w:eastAsia="FangSong" w:hAnsi="FangSong" w:hint="eastAsia"/>
          <w:sz w:val="28"/>
          <w:szCs w:val="28"/>
        </w:rPr>
        <w:t>2019</w:t>
      </w:r>
      <w:r w:rsidRPr="005A6133">
        <w:rPr>
          <w:rFonts w:ascii="FangSong" w:eastAsia="FangSong" w:hAnsi="FangSong" w:hint="eastAsia"/>
          <w:sz w:val="28"/>
          <w:szCs w:val="28"/>
        </w:rPr>
        <w:t>年</w:t>
      </w:r>
      <w:r w:rsidRPr="005A6133">
        <w:rPr>
          <w:rFonts w:ascii="FangSong" w:eastAsia="FangSong" w:hAnsi="FangSong"/>
          <w:sz w:val="28"/>
          <w:szCs w:val="28"/>
        </w:rPr>
        <w:t>11</w:t>
      </w:r>
      <w:r w:rsidRPr="005A6133">
        <w:rPr>
          <w:rFonts w:ascii="FangSong" w:eastAsia="FangSong" w:hAnsi="FangSong" w:hint="eastAsia"/>
          <w:sz w:val="28"/>
          <w:szCs w:val="28"/>
        </w:rPr>
        <w:t>月</w:t>
      </w:r>
    </w:p>
    <w:p w:rsidR="00B9275B" w:rsidRPr="005A6133" w:rsidRDefault="00B9275B" w:rsidP="005A6133">
      <w:pPr>
        <w:spacing w:line="600" w:lineRule="exact"/>
        <w:rPr>
          <w:rFonts w:ascii="FangSong" w:eastAsia="FangSong" w:hAnsi="FangSong" w:cs="宋体"/>
          <w:sz w:val="28"/>
          <w:szCs w:val="28"/>
        </w:rPr>
      </w:pPr>
    </w:p>
    <w:sectPr w:rsidR="00B9275B" w:rsidRPr="005A6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35"/>
    <w:rsid w:val="00044896"/>
    <w:rsid w:val="000505E3"/>
    <w:rsid w:val="000610FB"/>
    <w:rsid w:val="00085A19"/>
    <w:rsid w:val="00091952"/>
    <w:rsid w:val="00092979"/>
    <w:rsid w:val="00102479"/>
    <w:rsid w:val="0013449E"/>
    <w:rsid w:val="001F193E"/>
    <w:rsid w:val="002546CD"/>
    <w:rsid w:val="0027782D"/>
    <w:rsid w:val="002973AE"/>
    <w:rsid w:val="00324571"/>
    <w:rsid w:val="004730BA"/>
    <w:rsid w:val="004D33D5"/>
    <w:rsid w:val="005A6133"/>
    <w:rsid w:val="005C003A"/>
    <w:rsid w:val="005F2992"/>
    <w:rsid w:val="007F1164"/>
    <w:rsid w:val="008268B3"/>
    <w:rsid w:val="008E637E"/>
    <w:rsid w:val="00917C07"/>
    <w:rsid w:val="009679DD"/>
    <w:rsid w:val="00A01B52"/>
    <w:rsid w:val="00A13B1D"/>
    <w:rsid w:val="00A47AC4"/>
    <w:rsid w:val="00B9275B"/>
    <w:rsid w:val="00B97312"/>
    <w:rsid w:val="00C15547"/>
    <w:rsid w:val="00C51E84"/>
    <w:rsid w:val="00C96F35"/>
    <w:rsid w:val="00D10AC7"/>
    <w:rsid w:val="00D3193C"/>
    <w:rsid w:val="00DB51CF"/>
    <w:rsid w:val="00E37296"/>
    <w:rsid w:val="00E65B33"/>
    <w:rsid w:val="00F4541F"/>
    <w:rsid w:val="00F46C28"/>
    <w:rsid w:val="6064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78C6"/>
  <w15:docId w15:val="{97E16934-27A9-435A-8307-0BC36F10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 </cp:lastModifiedBy>
  <cp:revision>41</cp:revision>
  <dcterms:created xsi:type="dcterms:W3CDTF">2019-11-30T10:54:00Z</dcterms:created>
  <dcterms:modified xsi:type="dcterms:W3CDTF">2020-03-29T10:39:00Z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