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hint="eastAsia" w:ascii="华文中宋" w:hAnsi="华文中宋" w:eastAsia="华文中宋" w:cs="方正小标宋简体"/>
          <w:color w:val="000000" w:themeColor="text1"/>
          <w:sz w:val="44"/>
          <w:szCs w:val="44"/>
          <w14:textFill>
            <w14:solidFill>
              <w14:schemeClr w14:val="tx1"/>
            </w14:solidFill>
          </w14:textFill>
        </w:rPr>
      </w:pPr>
      <w:r>
        <w:rPr>
          <w:rFonts w:hint="eastAsia" w:ascii="华文中宋" w:hAnsi="华文中宋" w:eastAsia="华文中宋" w:cs="方正小标宋简体"/>
          <w:color w:val="000000" w:themeColor="text1"/>
          <w:sz w:val="44"/>
          <w:szCs w:val="44"/>
          <w14:textFill>
            <w14:solidFill>
              <w14:schemeClr w14:val="tx1"/>
            </w14:solidFill>
          </w14:textFill>
        </w:rPr>
        <w:t>附件3 “不忘初心、牢记使命”主题教育的实施方案（党支部）</w:t>
      </w:r>
    </w:p>
    <w:p>
      <w:pPr>
        <w:spacing w:after="156" w:afterLines="50" w:line="600" w:lineRule="exact"/>
        <w:jc w:val="center"/>
        <w:rPr>
          <w:rFonts w:ascii="楷体" w:hAnsi="楷体" w:eastAsia="楷体" w:cs="方正小标宋简体"/>
          <w:color w:val="000000" w:themeColor="text1"/>
          <w:sz w:val="32"/>
          <w:szCs w:val="32"/>
          <w14:textFill>
            <w14:solidFill>
              <w14:schemeClr w14:val="tx1"/>
            </w14:solidFill>
          </w14:textFill>
        </w:rPr>
      </w:pPr>
      <w:r>
        <w:rPr>
          <w:rFonts w:hint="eastAsia" w:ascii="楷体" w:hAnsi="楷体" w:eastAsia="楷体" w:cs="方正小标宋简体"/>
          <w:color w:val="000000" w:themeColor="text1"/>
          <w:sz w:val="32"/>
          <w:szCs w:val="32"/>
          <w14:textFill>
            <w14:solidFill>
              <w14:schemeClr w14:val="tx1"/>
            </w14:solidFill>
          </w14:textFill>
        </w:rPr>
        <w:t>【结合实际，探索方法，创新形式，有机融合，统筹推进的“</w:t>
      </w:r>
      <w:r>
        <w:rPr>
          <w:rFonts w:hint="eastAsia" w:ascii="楷体" w:hAnsi="楷体" w:eastAsia="楷体" w:cs="方正小标宋简体"/>
          <w:color w:val="000000" w:themeColor="text1"/>
          <w:sz w:val="32"/>
          <w:szCs w:val="32"/>
          <w:lang w:val="en-US" w:eastAsia="zh-CN"/>
          <w14:textFill>
            <w14:solidFill>
              <w14:schemeClr w14:val="tx1"/>
            </w14:solidFill>
          </w14:textFill>
        </w:rPr>
        <w:t>八个一</w:t>
      </w:r>
      <w:r>
        <w:rPr>
          <w:rFonts w:hint="eastAsia" w:ascii="楷体" w:hAnsi="楷体" w:eastAsia="楷体" w:cs="方正小标宋简体"/>
          <w:color w:val="000000" w:themeColor="text1"/>
          <w:sz w:val="32"/>
          <w:szCs w:val="32"/>
          <w14:textFill>
            <w14:solidFill>
              <w14:schemeClr w14:val="tx1"/>
            </w14:solidFill>
          </w14:textFill>
        </w:rPr>
        <w:t>”工程】</w:t>
      </w:r>
    </w:p>
    <w:tbl>
      <w:tblPr>
        <w:tblStyle w:val="6"/>
        <w:tblpPr w:leftFromText="180" w:rightFromText="180" w:vertAnchor="text" w:tblpY="1"/>
        <w:tblOverlap w:val="never"/>
        <w:tblW w:w="15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559"/>
        <w:gridCol w:w="2552"/>
        <w:gridCol w:w="609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编号</w:t>
            </w:r>
          </w:p>
        </w:tc>
        <w:tc>
          <w:tcPr>
            <w:tcW w:w="1701" w:type="dxa"/>
            <w:vAlign w:val="center"/>
          </w:tcPr>
          <w:p>
            <w:pPr>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任务目标</w:t>
            </w:r>
          </w:p>
        </w:tc>
        <w:tc>
          <w:tcPr>
            <w:tcW w:w="1559" w:type="dxa"/>
            <w:vAlign w:val="center"/>
          </w:tcPr>
          <w:p>
            <w:pPr>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时间节点</w:t>
            </w:r>
          </w:p>
        </w:tc>
        <w:tc>
          <w:tcPr>
            <w:tcW w:w="2552" w:type="dxa"/>
            <w:vAlign w:val="center"/>
          </w:tcPr>
          <w:p>
            <w:pPr>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主要内容</w:t>
            </w:r>
          </w:p>
        </w:tc>
        <w:tc>
          <w:tcPr>
            <w:tcW w:w="6095" w:type="dxa"/>
            <w:vAlign w:val="center"/>
          </w:tcPr>
          <w:p>
            <w:pPr>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工作要求</w:t>
            </w:r>
          </w:p>
        </w:tc>
        <w:tc>
          <w:tcPr>
            <w:tcW w:w="3260" w:type="dxa"/>
            <w:vAlign w:val="center"/>
          </w:tcPr>
          <w:p>
            <w:pPr>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0" w:hRule="atLeast"/>
        </w:trPr>
        <w:tc>
          <w:tcPr>
            <w:tcW w:w="817" w:type="dxa"/>
            <w:vMerge w:val="restart"/>
            <w:vAlign w:val="center"/>
          </w:tcPr>
          <w:p>
            <w:pPr>
              <w:snapToGrid w:val="0"/>
              <w:jc w:val="center"/>
              <w:rPr>
                <w:rFonts w:ascii="黑体" w:hAnsi="黑体" w:eastAsia="黑体" w:cs="黑体"/>
                <w:color w:val="000000" w:themeColor="text1"/>
                <w:szCs w:val="21"/>
                <w14:textFill>
                  <w14:solidFill>
                    <w14:schemeClr w14:val="tx1"/>
                  </w14:solidFill>
                </w14:textFill>
              </w:rPr>
            </w:pPr>
            <w:r>
              <w:rPr>
                <w:rFonts w:hint="eastAsia" w:ascii="Times New Roman" w:hAnsi="Times New Roman" w:eastAsia="仿宋_GB2312"/>
                <w:b/>
                <w:color w:val="000000" w:themeColor="text1"/>
                <w:szCs w:val="24"/>
                <w14:textFill>
                  <w14:solidFill>
                    <w14:schemeClr w14:val="tx1"/>
                  </w14:solidFill>
                </w14:textFill>
              </w:rPr>
              <w:t>2</w:t>
            </w:r>
          </w:p>
        </w:tc>
        <w:tc>
          <w:tcPr>
            <w:tcW w:w="1701" w:type="dxa"/>
            <w:vMerge w:val="restart"/>
            <w:vAlign w:val="center"/>
          </w:tcPr>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做实基层党支部学习教育和检视整改</w:t>
            </w:r>
            <w:r>
              <w:rPr>
                <w:rFonts w:ascii="仿宋_GB2312" w:hAnsi="仿宋" w:eastAsia="仿宋_GB2312" w:cs="仿宋"/>
                <w:color w:val="000000" w:themeColor="text1"/>
                <w:szCs w:val="21"/>
                <w14:textFill>
                  <w14:solidFill>
                    <w14:schemeClr w14:val="tx1"/>
                  </w14:solidFill>
                </w14:textFill>
              </w:rPr>
              <w:br w:type="textWrapping"/>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以党支部为单位，结合“两学一做”学习教育常态化制度化，依托“三会一课”、主题党日等进行</w:t>
            </w:r>
          </w:p>
          <w:p>
            <w:pPr>
              <w:snapToGrid w:val="0"/>
              <w:jc w:val="center"/>
              <w:rPr>
                <w:rFonts w:ascii="仿宋_GB2312" w:hAnsi="仿宋" w:eastAsia="仿宋_GB2312" w:cs="仿宋"/>
                <w:color w:val="000000" w:themeColor="text1"/>
                <w:szCs w:val="21"/>
                <w14:textFill>
                  <w14:solidFill>
                    <w14:schemeClr w14:val="tx1"/>
                  </w14:solidFill>
                </w14:textFill>
              </w:rPr>
            </w:pPr>
          </w:p>
        </w:tc>
        <w:tc>
          <w:tcPr>
            <w:tcW w:w="1559" w:type="dxa"/>
            <w:vMerge w:val="restart"/>
            <w:vAlign w:val="center"/>
          </w:tcPr>
          <w:p>
            <w:pPr>
              <w:snapToGrid w:val="0"/>
              <w:jc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贯穿始</w:t>
            </w:r>
            <w:bookmarkStart w:id="0" w:name="_GoBack"/>
            <w:bookmarkEnd w:id="0"/>
            <w:r>
              <w:rPr>
                <w:rFonts w:hint="eastAsia" w:ascii="仿宋_GB2312" w:hAnsi="仿宋" w:eastAsia="仿宋_GB2312" w:cs="仿宋"/>
                <w:color w:val="000000" w:themeColor="text1"/>
                <w:szCs w:val="21"/>
                <w14:textFill>
                  <w14:solidFill>
                    <w14:schemeClr w14:val="tx1"/>
                  </w14:solidFill>
                </w14:textFill>
              </w:rPr>
              <w:t>终</w:t>
            </w:r>
          </w:p>
        </w:tc>
        <w:tc>
          <w:tcPr>
            <w:tcW w:w="2552" w:type="dxa"/>
            <w:vAlign w:val="center"/>
          </w:tcPr>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抓好学习教育</w:t>
            </w:r>
          </w:p>
          <w:p>
            <w:pPr>
              <w:snapToGrid w:val="0"/>
              <w:rPr>
                <w:rFonts w:ascii="仿宋_GB2312" w:hAnsi="仿宋" w:eastAsia="仿宋_GB2312" w:cs="仿宋"/>
                <w:color w:val="000000" w:themeColor="text1"/>
                <w:szCs w:val="21"/>
                <w14:textFill>
                  <w14:solidFill>
                    <w14:schemeClr w14:val="tx1"/>
                  </w14:solidFill>
                </w14:textFill>
              </w:rPr>
            </w:pPr>
          </w:p>
        </w:tc>
        <w:tc>
          <w:tcPr>
            <w:tcW w:w="6095" w:type="dxa"/>
            <w:vAlign w:val="center"/>
          </w:tcPr>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1.组织党员以个人自学为主，原原本本通读《习近平关于“不忘初心、牢记使命”论述摘编》等；</w:t>
            </w:r>
          </w:p>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2.依托各级党校、党员干部教育培训基地等，对党支部书记进行1次轮训，重点组织学习习近平新时代中国特色社会主义思想和党中央关于开展“不忘初心，牢记使命”主题教育的部署要求；</w:t>
            </w:r>
          </w:p>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3.通过召开党员大会，支委会，党小组会，交流学习体会，相互启发提高。党支部书记要讲1次专题党课或者向所在支部党员报告一次个人学习体会；</w:t>
            </w:r>
          </w:p>
          <w:p>
            <w:pPr>
              <w:snapToGrid w:val="0"/>
              <w:rPr>
                <w:rFonts w:ascii="仿宋_GB2312" w:hAnsi="仿宋" w:eastAsia="仿宋_GB2312" w:cs="仿宋"/>
                <w:color w:val="000000" w:themeColor="text1"/>
                <w:szCs w:val="21"/>
                <w14:textFill>
                  <w14:solidFill>
                    <w14:schemeClr w14:val="tx1"/>
                  </w14:solidFill>
                </w14:textFill>
              </w:rPr>
            </w:pPr>
          </w:p>
        </w:tc>
        <w:tc>
          <w:tcPr>
            <w:tcW w:w="3260" w:type="dxa"/>
            <w:vAlign w:val="center"/>
          </w:tcPr>
          <w:p>
            <w:pPr>
              <w:snapToGrid w:val="0"/>
              <w:jc w:val="left"/>
              <w:rPr>
                <w:rFonts w:hint="eastAsia" w:ascii="黑体" w:hAnsi="黑体" w:eastAsia="黑体" w:cs="仿宋"/>
                <w:b/>
                <w:color w:val="FF0000"/>
                <w:szCs w:val="21"/>
              </w:rPr>
            </w:pPr>
            <w:r>
              <w:rPr>
                <w:rFonts w:hint="eastAsia" w:ascii="黑体" w:hAnsi="黑体" w:eastAsia="黑体" w:cs="仿宋"/>
                <w:b/>
                <w:color w:val="FF0000"/>
                <w:szCs w:val="21"/>
                <w:lang w:val="en-US" w:eastAsia="zh-CN"/>
              </w:rPr>
              <w:t>1、</w:t>
            </w:r>
            <w:r>
              <w:rPr>
                <w:rFonts w:hint="eastAsia" w:ascii="黑体" w:hAnsi="黑体" w:eastAsia="黑体" w:cs="仿宋"/>
                <w:b/>
                <w:color w:val="FF0000"/>
                <w:szCs w:val="21"/>
              </w:rPr>
              <w:t>关工委老同志做一场基层党建工作的讲座；</w:t>
            </w:r>
          </w:p>
          <w:p>
            <w:pPr>
              <w:snapToGrid w:val="0"/>
              <w:jc w:val="left"/>
              <w:rPr>
                <w:rFonts w:hint="eastAsia" w:ascii="黑体" w:hAnsi="黑体" w:eastAsia="黑体" w:cs="仿宋"/>
                <w:b/>
                <w:color w:val="FF0000"/>
                <w:szCs w:val="21"/>
              </w:rPr>
            </w:pPr>
            <w:r>
              <w:rPr>
                <w:rFonts w:hint="eastAsia" w:ascii="黑体" w:hAnsi="黑体" w:eastAsia="黑体" w:cs="仿宋"/>
                <w:b/>
                <w:color w:val="FF0000"/>
                <w:szCs w:val="21"/>
                <w:lang w:val="en-US" w:eastAsia="zh-CN"/>
              </w:rPr>
              <w:t>2、</w:t>
            </w:r>
            <w:r>
              <w:rPr>
                <w:rFonts w:hint="eastAsia" w:ascii="黑体" w:hAnsi="黑体" w:eastAsia="黑体" w:cs="仿宋"/>
                <w:b/>
                <w:color w:val="FF0000"/>
                <w:szCs w:val="21"/>
              </w:rPr>
              <w:t>开办学院层面干部培训班；</w:t>
            </w:r>
          </w:p>
          <w:p>
            <w:pPr>
              <w:snapToGrid w:val="0"/>
              <w:jc w:val="left"/>
              <w:rPr>
                <w:rFonts w:hint="eastAsia" w:ascii="黑体" w:hAnsi="黑体" w:eastAsia="黑体" w:cs="仿宋"/>
                <w:b/>
                <w:color w:val="FF0000"/>
                <w:szCs w:val="21"/>
              </w:rPr>
            </w:pPr>
            <w:r>
              <w:rPr>
                <w:rFonts w:hint="eastAsia" w:ascii="黑体" w:hAnsi="黑体" w:eastAsia="黑体" w:cs="仿宋"/>
                <w:b/>
                <w:color w:val="FF0000"/>
                <w:szCs w:val="21"/>
                <w:lang w:val="en-US" w:eastAsia="zh-CN"/>
              </w:rPr>
              <w:t>3、</w:t>
            </w:r>
            <w:r>
              <w:rPr>
                <w:rFonts w:hint="eastAsia" w:ascii="黑体" w:hAnsi="黑体" w:eastAsia="黑体" w:cs="仿宋"/>
                <w:b/>
                <w:color w:val="FF0000"/>
                <w:szCs w:val="21"/>
              </w:rPr>
              <w:t>打造一次党委书记、支部书记上党课，并利用互联网打造“微党课”；</w:t>
            </w:r>
          </w:p>
          <w:p>
            <w:pPr>
              <w:snapToGrid w:val="0"/>
              <w:jc w:val="left"/>
              <w:rPr>
                <w:rFonts w:hint="eastAsia" w:ascii="黑体" w:hAnsi="黑体" w:eastAsia="黑体" w:cs="仿宋"/>
                <w:b/>
                <w:color w:val="FF0000"/>
                <w:szCs w:val="21"/>
              </w:rPr>
            </w:pPr>
            <w:r>
              <w:rPr>
                <w:rFonts w:hint="eastAsia" w:ascii="黑体" w:hAnsi="黑体" w:eastAsia="黑体" w:cs="仿宋"/>
                <w:b/>
                <w:color w:val="FF0000"/>
                <w:szCs w:val="21"/>
                <w:lang w:val="en-US" w:eastAsia="zh-CN"/>
              </w:rPr>
              <w:t>4、</w:t>
            </w:r>
            <w:r>
              <w:rPr>
                <w:rFonts w:hint="eastAsia" w:ascii="黑体" w:hAnsi="黑体" w:eastAsia="黑体" w:cs="仿宋"/>
                <w:b/>
                <w:color w:val="FF0000"/>
                <w:szCs w:val="21"/>
              </w:rPr>
              <w:t>每位党员过一次组织生活会；</w:t>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黑体" w:hAnsi="黑体" w:eastAsia="黑体" w:cs="仿宋"/>
                <w:b/>
                <w:color w:val="FF0000"/>
                <w:szCs w:val="21"/>
                <w:lang w:val="en-US" w:eastAsia="zh-CN"/>
              </w:rPr>
              <w:t>5、</w:t>
            </w:r>
            <w:r>
              <w:rPr>
                <w:rFonts w:hint="eastAsia" w:ascii="黑体" w:hAnsi="黑体" w:eastAsia="黑体" w:cs="仿宋"/>
                <w:b/>
                <w:color w:val="FF0000"/>
                <w:szCs w:val="21"/>
              </w:rPr>
              <w:t>每个党员为师生做好一件实事。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4" w:hRule="atLeast"/>
        </w:trPr>
        <w:tc>
          <w:tcPr>
            <w:tcW w:w="817" w:type="dxa"/>
            <w:vMerge w:val="continue"/>
            <w:vAlign w:val="center"/>
          </w:tcPr>
          <w:p>
            <w:pPr>
              <w:snapToGrid w:val="0"/>
              <w:jc w:val="center"/>
              <w:rPr>
                <w:rFonts w:ascii="黑体" w:hAnsi="黑体" w:eastAsia="黑体" w:cs="黑体"/>
                <w:color w:val="000000" w:themeColor="text1"/>
                <w:szCs w:val="21"/>
                <w14:textFill>
                  <w14:solidFill>
                    <w14:schemeClr w14:val="tx1"/>
                  </w14:solidFill>
                </w14:textFill>
              </w:rPr>
            </w:pPr>
          </w:p>
        </w:tc>
        <w:tc>
          <w:tcPr>
            <w:tcW w:w="1701" w:type="dxa"/>
            <w:vMerge w:val="continue"/>
            <w:vAlign w:val="center"/>
          </w:tcPr>
          <w:p>
            <w:pPr>
              <w:snapToGrid w:val="0"/>
              <w:jc w:val="center"/>
              <w:rPr>
                <w:rFonts w:ascii="仿宋_GB2312" w:hAnsi="仿宋" w:eastAsia="仿宋_GB2312" w:cs="仿宋"/>
                <w:color w:val="000000" w:themeColor="text1"/>
                <w:szCs w:val="21"/>
                <w14:textFill>
                  <w14:solidFill>
                    <w14:schemeClr w14:val="tx1"/>
                  </w14:solidFill>
                </w14:textFill>
              </w:rPr>
            </w:pPr>
          </w:p>
        </w:tc>
        <w:tc>
          <w:tcPr>
            <w:tcW w:w="1559" w:type="dxa"/>
            <w:vMerge w:val="continue"/>
            <w:vAlign w:val="center"/>
          </w:tcPr>
          <w:p>
            <w:pPr>
              <w:snapToGrid w:val="0"/>
              <w:jc w:val="center"/>
              <w:rPr>
                <w:rFonts w:ascii="仿宋_GB2312" w:hAnsi="仿宋" w:eastAsia="仿宋_GB2312" w:cs="仿宋"/>
                <w:color w:val="000000" w:themeColor="text1"/>
                <w:szCs w:val="21"/>
                <w14:textFill>
                  <w14:solidFill>
                    <w14:schemeClr w14:val="tx1"/>
                  </w14:solidFill>
                </w14:textFill>
              </w:rPr>
            </w:pPr>
          </w:p>
        </w:tc>
        <w:tc>
          <w:tcPr>
            <w:tcW w:w="2552" w:type="dxa"/>
            <w:vAlign w:val="center"/>
          </w:tcPr>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认真检视整改</w:t>
            </w:r>
          </w:p>
        </w:tc>
        <w:tc>
          <w:tcPr>
            <w:tcW w:w="6095" w:type="dxa"/>
            <w:vAlign w:val="center"/>
          </w:tcPr>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1.对照党章党规，对照群众提出的意见建议等，查找党员意识，担当作为，服务群众，遵守纪律，作用发挥等方面的差距和不足，一条一条列出问题，一项一项整改到位；</w:t>
            </w:r>
          </w:p>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2.通过党员先锋岗，党员责任区，设岗定责，承诺践诺等，组织党员立足岗位，履职尽责；</w:t>
            </w:r>
          </w:p>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3.通过主题党日，组织党员结合自身实际，至少参加1次志愿服务，为身边群众至少办1件实事好事，以实际行动践行初心和使命；</w:t>
            </w:r>
          </w:p>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4.结合专项整治，首先整顿软弱涣散党支部，为开展主题教育打牢组织基础。</w:t>
            </w:r>
          </w:p>
        </w:tc>
        <w:tc>
          <w:tcPr>
            <w:tcW w:w="3260" w:type="dxa"/>
            <w:vAlign w:val="center"/>
          </w:tcPr>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主题教育结束前，</w:t>
            </w:r>
            <w:r>
              <w:rPr>
                <w:rFonts w:hint="eastAsia" w:ascii="黑体" w:hAnsi="黑体" w:eastAsia="黑体" w:cs="仿宋"/>
                <w:b/>
                <w:color w:val="FF0000"/>
                <w:szCs w:val="21"/>
              </w:rPr>
              <w:t>党支部要以“不忘初心、牢记使命”为主题召开1次专题组织生活会</w:t>
            </w:r>
            <w:r>
              <w:rPr>
                <w:rFonts w:hint="eastAsia" w:ascii="仿宋_GB2312" w:hAnsi="仿宋" w:eastAsia="仿宋_GB2312" w:cs="仿宋"/>
                <w:color w:val="000000" w:themeColor="text1"/>
                <w:szCs w:val="21"/>
                <w14:textFill>
                  <w14:solidFill>
                    <w14:schemeClr w14:val="tx1"/>
                  </w14:solidFill>
                </w14:textFill>
              </w:rPr>
              <w:t>，开展民主评议党员。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1" w:hRule="atLeast"/>
        </w:trPr>
        <w:tc>
          <w:tcPr>
            <w:tcW w:w="817" w:type="dxa"/>
            <w:vMerge w:val="continue"/>
            <w:vAlign w:val="center"/>
          </w:tcPr>
          <w:p>
            <w:pPr>
              <w:snapToGrid w:val="0"/>
              <w:jc w:val="center"/>
              <w:rPr>
                <w:rFonts w:ascii="黑体" w:hAnsi="黑体" w:eastAsia="黑体" w:cs="黑体"/>
                <w:color w:val="000000" w:themeColor="text1"/>
                <w:szCs w:val="21"/>
                <w14:textFill>
                  <w14:solidFill>
                    <w14:schemeClr w14:val="tx1"/>
                  </w14:solidFill>
                </w14:textFill>
              </w:rPr>
            </w:pPr>
          </w:p>
        </w:tc>
        <w:tc>
          <w:tcPr>
            <w:tcW w:w="1701" w:type="dxa"/>
            <w:vMerge w:val="continue"/>
            <w:vAlign w:val="center"/>
          </w:tcPr>
          <w:p>
            <w:pPr>
              <w:snapToGrid w:val="0"/>
              <w:jc w:val="center"/>
              <w:rPr>
                <w:rFonts w:ascii="仿宋_GB2312" w:hAnsi="仿宋" w:eastAsia="仿宋_GB2312" w:cs="仿宋"/>
                <w:color w:val="000000" w:themeColor="text1"/>
                <w:szCs w:val="21"/>
                <w14:textFill>
                  <w14:solidFill>
                    <w14:schemeClr w14:val="tx1"/>
                  </w14:solidFill>
                </w14:textFill>
              </w:rPr>
            </w:pPr>
          </w:p>
        </w:tc>
        <w:tc>
          <w:tcPr>
            <w:tcW w:w="1559" w:type="dxa"/>
            <w:vMerge w:val="continue"/>
            <w:vAlign w:val="center"/>
          </w:tcPr>
          <w:p>
            <w:pPr>
              <w:snapToGrid w:val="0"/>
              <w:jc w:val="center"/>
              <w:rPr>
                <w:rFonts w:ascii="仿宋_GB2312" w:hAnsi="仿宋" w:eastAsia="仿宋_GB2312" w:cs="仿宋"/>
                <w:color w:val="000000" w:themeColor="text1"/>
                <w:szCs w:val="21"/>
                <w14:textFill>
                  <w14:solidFill>
                    <w14:schemeClr w14:val="tx1"/>
                  </w14:solidFill>
                </w14:textFill>
              </w:rPr>
            </w:pPr>
          </w:p>
        </w:tc>
        <w:tc>
          <w:tcPr>
            <w:tcW w:w="2552" w:type="dxa"/>
            <w:vAlign w:val="center"/>
          </w:tcPr>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创新方式方法</w:t>
            </w:r>
          </w:p>
        </w:tc>
        <w:tc>
          <w:tcPr>
            <w:tcW w:w="6095" w:type="dxa"/>
            <w:vAlign w:val="center"/>
          </w:tcPr>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1.运用“学习强国”学习平台等已有的党员教育管理载体平台；</w:t>
            </w:r>
          </w:p>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2.针对不同群体党员的实际，采取生动鲜活、喜闻乐见的方式，用好案例教育、微信公众号、微视频等，增强主题教育的吸引力和感染力；</w:t>
            </w:r>
          </w:p>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3.有条件的地方，可利用本地区红色资源，开展革命传统教育。</w:t>
            </w:r>
          </w:p>
        </w:tc>
        <w:tc>
          <w:tcPr>
            <w:tcW w:w="3260" w:type="dxa"/>
            <w:vAlign w:val="center"/>
          </w:tcPr>
          <w:p>
            <w:pPr>
              <w:snapToGrid w:val="0"/>
              <w:jc w:val="left"/>
              <w:rPr>
                <w:rFonts w:ascii="仿宋_GB2312" w:hAnsi="仿宋" w:eastAsia="仿宋_GB2312" w:cs="仿宋"/>
                <w:color w:val="000000" w:themeColor="text1"/>
                <w:szCs w:val="21"/>
                <w14:textFill>
                  <w14:solidFill>
                    <w14:schemeClr w14:val="tx1"/>
                  </w14:solidFill>
                </w14:textFill>
              </w:rPr>
            </w:pPr>
          </w:p>
        </w:tc>
      </w:tr>
    </w:tbl>
    <w:p>
      <w:pPr>
        <w:jc w:val="left"/>
        <w:rPr>
          <w:color w:val="000000" w:themeColor="text1"/>
          <w14:textFill>
            <w14:solidFill>
              <w14:schemeClr w14:val="tx1"/>
            </w14:solidFill>
          </w14:textFill>
        </w:rPr>
      </w:pPr>
    </w:p>
    <w:sectPr>
      <w:footerReference r:id="rId3" w:type="default"/>
      <w:pgSz w:w="16838" w:h="11906" w:orient="landscape"/>
      <w:pgMar w:top="567" w:right="567" w:bottom="709"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1"/>
        <w:szCs w:val="21"/>
      </w:rPr>
    </w:pPr>
    <w:r>
      <w:rPr>
        <w:rFonts w:ascii="Times New Roman" w:hAnsi="Times New Roman"/>
        <w:sz w:val="21"/>
        <w:szCs w:val="21"/>
        <w:lang w:val="zh-CN"/>
      </w:rPr>
      <w:t xml:space="preserve"> </w:t>
    </w:r>
    <w:r>
      <w:rPr>
        <w:rFonts w:ascii="Times New Roman" w:hAnsi="Times New Roman"/>
        <w:bCs/>
        <w:sz w:val="21"/>
        <w:szCs w:val="21"/>
      </w:rPr>
      <w:fldChar w:fldCharType="begin"/>
    </w:r>
    <w:r>
      <w:rPr>
        <w:rFonts w:ascii="Times New Roman" w:hAnsi="Times New Roman"/>
        <w:bCs/>
        <w:sz w:val="21"/>
        <w:szCs w:val="21"/>
      </w:rPr>
      <w:instrText xml:space="preserve">PAGE</w:instrText>
    </w:r>
    <w:r>
      <w:rPr>
        <w:rFonts w:ascii="Times New Roman" w:hAnsi="Times New Roman"/>
        <w:bCs/>
        <w:sz w:val="21"/>
        <w:szCs w:val="21"/>
      </w:rPr>
      <w:fldChar w:fldCharType="separate"/>
    </w:r>
    <w:r>
      <w:rPr>
        <w:rFonts w:ascii="Times New Roman" w:hAnsi="Times New Roman"/>
        <w:bCs/>
        <w:sz w:val="21"/>
        <w:szCs w:val="21"/>
      </w:rPr>
      <w:t>8</w:t>
    </w:r>
    <w:r>
      <w:rPr>
        <w:rFonts w:ascii="Times New Roman" w:hAnsi="Times New Roman"/>
        <w:bCs/>
        <w:sz w:val="21"/>
        <w:szCs w:val="21"/>
      </w:rPr>
      <w:fldChar w:fldCharType="end"/>
    </w:r>
    <w:r>
      <w:rPr>
        <w:rFonts w:ascii="Times New Roman" w:hAnsi="Times New Roman"/>
        <w:sz w:val="21"/>
        <w:szCs w:val="21"/>
        <w:lang w:val="zh-CN"/>
      </w:rPr>
      <w:t xml:space="preserve"> / </w:t>
    </w:r>
    <w:r>
      <w:rPr>
        <w:rFonts w:ascii="Times New Roman" w:hAnsi="Times New Roman"/>
        <w:bCs/>
        <w:sz w:val="21"/>
        <w:szCs w:val="21"/>
      </w:rPr>
      <w:fldChar w:fldCharType="begin"/>
    </w:r>
    <w:r>
      <w:rPr>
        <w:rFonts w:ascii="Times New Roman" w:hAnsi="Times New Roman"/>
        <w:bCs/>
        <w:sz w:val="21"/>
        <w:szCs w:val="21"/>
      </w:rPr>
      <w:instrText xml:space="preserve">NUMPAGES</w:instrText>
    </w:r>
    <w:r>
      <w:rPr>
        <w:rFonts w:ascii="Times New Roman" w:hAnsi="Times New Roman"/>
        <w:bCs/>
        <w:sz w:val="21"/>
        <w:szCs w:val="21"/>
      </w:rPr>
      <w:fldChar w:fldCharType="separate"/>
    </w:r>
    <w:r>
      <w:rPr>
        <w:rFonts w:ascii="Times New Roman" w:hAnsi="Times New Roman"/>
        <w:bCs/>
        <w:sz w:val="21"/>
        <w:szCs w:val="21"/>
      </w:rPr>
      <w:t>8</w:t>
    </w:r>
    <w:r>
      <w:rPr>
        <w:rFonts w:ascii="Times New Roman" w:hAnsi="Times New Roman"/>
        <w:bCs/>
        <w:sz w:val="21"/>
        <w:szCs w:val="21"/>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DD4"/>
    <w:rsid w:val="000A1DC8"/>
    <w:rsid w:val="000E2C40"/>
    <w:rsid w:val="00115D0D"/>
    <w:rsid w:val="00170BFA"/>
    <w:rsid w:val="001C4C49"/>
    <w:rsid w:val="00253824"/>
    <w:rsid w:val="00265F9E"/>
    <w:rsid w:val="0027089A"/>
    <w:rsid w:val="00341BEC"/>
    <w:rsid w:val="0040030E"/>
    <w:rsid w:val="005C35E4"/>
    <w:rsid w:val="005C4F77"/>
    <w:rsid w:val="00755F58"/>
    <w:rsid w:val="0077637A"/>
    <w:rsid w:val="0083447D"/>
    <w:rsid w:val="008914DC"/>
    <w:rsid w:val="008D4778"/>
    <w:rsid w:val="008F15C7"/>
    <w:rsid w:val="008F56B1"/>
    <w:rsid w:val="009432CB"/>
    <w:rsid w:val="00A97F2D"/>
    <w:rsid w:val="00AA153E"/>
    <w:rsid w:val="00AC2450"/>
    <w:rsid w:val="00B50C6B"/>
    <w:rsid w:val="00C844E3"/>
    <w:rsid w:val="00DF3754"/>
    <w:rsid w:val="00E10DD4"/>
    <w:rsid w:val="00ED37CD"/>
    <w:rsid w:val="00F0712C"/>
    <w:rsid w:val="00F33B4E"/>
    <w:rsid w:val="00F5566B"/>
    <w:rsid w:val="00FB286E"/>
    <w:rsid w:val="04BC3118"/>
    <w:rsid w:val="0B205D7A"/>
    <w:rsid w:val="2CE76FBC"/>
    <w:rsid w:val="2FEF590D"/>
    <w:rsid w:val="3ACC563E"/>
    <w:rsid w:val="404411FD"/>
    <w:rsid w:val="61C95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不明显强调1"/>
    <w:basedOn w:val="7"/>
    <w:qFormat/>
    <w:uiPriority w:val="19"/>
    <w:rPr>
      <w:i/>
      <w:iCs/>
      <w:color w:val="808080"/>
    </w:rPr>
  </w:style>
  <w:style w:type="paragraph" w:styleId="9">
    <w:name w:val="List Paragraph"/>
    <w:basedOn w:val="1"/>
    <w:qFormat/>
    <w:uiPriority w:val="34"/>
    <w:pPr>
      <w:ind w:firstLine="420" w:firstLineChars="200"/>
    </w:pPr>
    <w:rPr>
      <w:rFonts w:cs="宋体"/>
    </w:rPr>
  </w:style>
  <w:style w:type="character" w:customStyle="1" w:styleId="10">
    <w:name w:val="页眉 Char"/>
    <w:basedOn w:val="7"/>
    <w:link w:val="4"/>
    <w:qFormat/>
    <w:uiPriority w:val="99"/>
    <w:rPr>
      <w:kern w:val="2"/>
      <w:sz w:val="18"/>
      <w:szCs w:val="18"/>
    </w:rPr>
  </w:style>
  <w:style w:type="character" w:customStyle="1" w:styleId="11">
    <w:name w:val="页脚 Char"/>
    <w:basedOn w:val="7"/>
    <w:link w:val="3"/>
    <w:uiPriority w:val="99"/>
    <w:rPr>
      <w:kern w:val="2"/>
      <w:sz w:val="18"/>
      <w:szCs w:val="18"/>
    </w:rPr>
  </w:style>
  <w:style w:type="character" w:customStyle="1" w:styleId="12">
    <w:name w:val="批注框文本 Char"/>
    <w:basedOn w:val="7"/>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F7D3BD-7C73-4F42-B7C5-B4C5BBF6882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747</Words>
  <Characters>4262</Characters>
  <Lines>35</Lines>
  <Paragraphs>9</Paragraphs>
  <TotalTime>2</TotalTime>
  <ScaleCrop>false</ScaleCrop>
  <LinksUpToDate>false</LinksUpToDate>
  <CharactersWithSpaces>5000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2019-09-12T03:32:00Z</dcterms:created>
  <dc:creator>dell</dc:creator>
  <cp:lastModifiedBy>xx</cp:lastModifiedBy>
  <cp:lastPrinted>2019-10-07T07:27:38Z</cp:lastPrinted>
  <dcterms:modified xsi:type="dcterms:W3CDTF">2019-10-07T07:29:04Z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