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ascii="仿宋_GB2312" w:hAnsi="Arial" w:eastAsia="仿宋_GB2312" w:cs="Arial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kern w:val="0"/>
          <w:sz w:val="28"/>
          <w:szCs w:val="28"/>
        </w:rPr>
        <w:t>附件3：</w:t>
      </w:r>
    </w:p>
    <w:p>
      <w:pPr>
        <w:widowControl/>
        <w:spacing w:line="460" w:lineRule="exact"/>
        <w:jc w:val="center"/>
        <w:rPr>
          <w:rFonts w:hint="eastAsia" w:ascii="黑体" w:hAnsi="Arial" w:eastAsia="黑体" w:cs="Arial"/>
          <w:b/>
          <w:color w:val="auto"/>
          <w:kern w:val="0"/>
          <w:sz w:val="30"/>
          <w:szCs w:val="30"/>
        </w:rPr>
      </w:pPr>
      <w:r>
        <w:rPr>
          <w:rFonts w:hint="eastAsia" w:ascii="黑体" w:hAnsi="Arial" w:eastAsia="黑体" w:cs="Arial"/>
          <w:b/>
          <w:color w:val="auto"/>
          <w:kern w:val="0"/>
          <w:sz w:val="30"/>
          <w:szCs w:val="30"/>
        </w:rPr>
        <w:t>2019年</w:t>
      </w:r>
      <w:r>
        <w:rPr>
          <w:rFonts w:hint="eastAsia" w:ascii="黑体" w:hAnsi="Arial" w:eastAsia="黑体" w:cs="Arial"/>
          <w:b/>
          <w:color w:val="auto"/>
          <w:kern w:val="0"/>
          <w:sz w:val="30"/>
          <w:szCs w:val="30"/>
          <w:u w:val="single"/>
        </w:rPr>
        <w:t xml:space="preserve"> </w:t>
      </w:r>
      <w:r>
        <w:rPr>
          <w:rFonts w:hint="eastAsia" w:ascii="黑体" w:hAnsi="Arial" w:eastAsia="黑体" w:cs="Arial"/>
          <w:b/>
          <w:color w:val="auto"/>
          <w:kern w:val="0"/>
          <w:sz w:val="30"/>
          <w:szCs w:val="30"/>
          <w:u w:val="single"/>
          <w:lang w:val="en-US" w:eastAsia="zh-CN"/>
        </w:rPr>
        <w:t>9</w:t>
      </w:r>
      <w:r>
        <w:rPr>
          <w:rFonts w:hint="eastAsia" w:ascii="黑体" w:hAnsi="Arial" w:eastAsia="黑体" w:cs="Arial"/>
          <w:b/>
          <w:color w:val="auto"/>
          <w:kern w:val="0"/>
          <w:sz w:val="30"/>
          <w:szCs w:val="30"/>
          <w:u w:val="single"/>
        </w:rPr>
        <w:t xml:space="preserve">  </w:t>
      </w:r>
      <w:r>
        <w:rPr>
          <w:rFonts w:hint="eastAsia" w:ascii="黑体" w:hAnsi="Arial" w:eastAsia="黑体" w:cs="Arial"/>
          <w:b/>
          <w:color w:val="auto"/>
          <w:kern w:val="0"/>
          <w:sz w:val="30"/>
          <w:szCs w:val="30"/>
        </w:rPr>
        <w:t>月组织生活公示一览表</w:t>
      </w:r>
    </w:p>
    <w:p>
      <w:pPr>
        <w:widowControl/>
        <w:spacing w:after="319" w:afterLines="100" w:line="460" w:lineRule="exact"/>
        <w:jc w:val="center"/>
        <w:rPr>
          <w:rFonts w:hint="eastAsia" w:ascii="黑体" w:hAnsi="黑体" w:eastAsia="黑体" w:cs="黑体"/>
          <w:color w:val="auto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auto"/>
          <w:kern w:val="0"/>
          <w:sz w:val="24"/>
          <w:szCs w:val="24"/>
        </w:rPr>
        <w:t>（党支部填写）</w:t>
      </w:r>
    </w:p>
    <w:tbl>
      <w:tblPr>
        <w:tblStyle w:val="3"/>
        <w:tblW w:w="9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185"/>
        <w:gridCol w:w="900"/>
        <w:gridCol w:w="1223"/>
        <w:gridCol w:w="2402"/>
        <w:gridCol w:w="1580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党支部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33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研究生第三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党支部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支部书记姓名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胡祺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本月主题党日时间</w:t>
            </w:r>
          </w:p>
        </w:tc>
        <w:tc>
          <w:tcPr>
            <w:tcW w:w="33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月26日 下午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本月组织生活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是否接受观摩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是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类  型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召开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召开地点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组织生活主题</w:t>
            </w:r>
          </w:p>
        </w:tc>
        <w:tc>
          <w:tcPr>
            <w:tcW w:w="39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会议纪要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缺席人姓名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党员大会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9月18日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艺术楼C310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朱海宁转正大会</w:t>
            </w:r>
          </w:p>
        </w:tc>
        <w:tc>
          <w:tcPr>
            <w:tcW w:w="39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1.朱海宁同志的转正党员大会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华蔚玮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exac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支委会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9:00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艺术楼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会议室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研究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月份支部组织生活计划</w:t>
            </w:r>
          </w:p>
        </w:tc>
        <w:tc>
          <w:tcPr>
            <w:tcW w:w="3982" w:type="dxa"/>
            <w:gridSpan w:val="2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会议主要议题：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会议达成共识（或决定内容）：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党小组会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exac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党课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14:00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艺术楼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会议室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不忘初心牢记使命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学习专题党课</w:t>
            </w:r>
          </w:p>
        </w:tc>
        <w:tc>
          <w:tcPr>
            <w:tcW w:w="3982" w:type="dxa"/>
            <w:gridSpan w:val="2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支部书记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胡祺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上党课。学习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不忘初心，牢记使命主题教育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内涵意义；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支部成员交流讨论。每位支部党员结合自身工作实际探讨立足本职岗位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不忘初心牢记使命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的具体举措。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华蔚玮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exac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其他组织生活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12：00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艺术楼C310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读书体会交流</w:t>
            </w:r>
          </w:p>
        </w:tc>
        <w:tc>
          <w:tcPr>
            <w:tcW w:w="3982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支部学员代表领读原著，原文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学员代表分享读书体会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观察团点评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。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......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400" w:lineRule="exact"/>
        <w:jc w:val="left"/>
        <w:rPr>
          <w:rFonts w:ascii="仿宋_GB2312" w:hAnsi="Arial" w:eastAsia="仿宋_GB2312" w:cs="Arial"/>
          <w:kern w:val="0"/>
          <w:sz w:val="22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 xml:space="preserve">                        </w:t>
      </w:r>
    </w:p>
    <w:p>
      <w:pPr>
        <w:widowControl/>
        <w:spacing w:line="400" w:lineRule="exact"/>
        <w:jc w:val="left"/>
        <w:rPr>
          <w:rFonts w:hint="eastAsia" w:ascii="仿宋_GB2312" w:hAnsi="Arial" w:eastAsia="仿宋_GB2312" w:cs="Arial"/>
          <w:b/>
          <w:bCs/>
          <w:kern w:val="0"/>
          <w:sz w:val="22"/>
          <w:szCs w:val="24"/>
        </w:rPr>
      </w:pPr>
      <w:r>
        <w:rPr>
          <w:rFonts w:hint="eastAsia" w:ascii="仿宋_GB2312" w:hAnsi="Arial" w:eastAsia="仿宋_GB2312" w:cs="Arial"/>
          <w:b/>
          <w:bCs/>
          <w:kern w:val="0"/>
          <w:sz w:val="22"/>
          <w:szCs w:val="24"/>
        </w:rPr>
        <w:t>备注：标红部分为填写示例；此表请于当月30日前上传本单位党务公开网</w:t>
      </w:r>
    </w:p>
    <w:p/>
    <w:sectPr>
      <w:pgSz w:w="11906" w:h="16838"/>
      <w:pgMar w:top="1134" w:right="1797" w:bottom="1134" w:left="179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F30B4D"/>
    <w:multiLevelType w:val="singleLevel"/>
    <w:tmpl w:val="AAF30B4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B011C12"/>
    <w:multiLevelType w:val="singleLevel"/>
    <w:tmpl w:val="BB011C1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A55A8"/>
    <w:rsid w:val="0D2778F5"/>
    <w:rsid w:val="1E567593"/>
    <w:rsid w:val="3B174C13"/>
    <w:rsid w:val="3B9A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2019-03-28T08:36:00Z</dcterms:created>
  <dc:creator>Cynthia</dc:creator>
  <cp:lastModifiedBy>无名卒</cp:lastModifiedBy>
  <dcterms:modified xsi:type="dcterms:W3CDTF">2019-09-29T13:49:23Z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