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36"/>
          <w:szCs w:val="36"/>
        </w:rPr>
      </w:pPr>
      <w:r>
        <w:rPr>
          <w:rFonts w:hint="eastAsia" w:ascii="华文中宋" w:hAnsi="华文中宋" w:eastAsia="华文中宋"/>
          <w:sz w:val="36"/>
          <w:szCs w:val="36"/>
        </w:rPr>
        <w:t xml:space="preserve"> </w:t>
      </w:r>
      <w:r>
        <w:rPr>
          <w:rFonts w:ascii="华文中宋" w:hAnsi="华文中宋" w:eastAsia="华文中宋"/>
          <w:sz w:val="36"/>
          <w:szCs w:val="36"/>
        </w:rPr>
        <w:t xml:space="preserve">   </w:t>
      </w:r>
      <w:r>
        <w:rPr>
          <w:rFonts w:hint="eastAsia" w:ascii="华文中宋" w:hAnsi="华文中宋" w:eastAsia="华文中宋"/>
          <w:sz w:val="36"/>
          <w:szCs w:val="36"/>
          <w:lang w:eastAsia="zh-CN"/>
        </w:rPr>
        <w:t>主题党日记录</w:t>
      </w:r>
      <w:r>
        <w:rPr>
          <w:rFonts w:hint="eastAsia" w:ascii="华文中宋" w:hAnsi="华文中宋" w:eastAsia="华文中宋"/>
          <w:sz w:val="36"/>
          <w:szCs w:val="36"/>
        </w:rPr>
        <w:t xml:space="preserve"> </w:t>
      </w:r>
    </w:p>
    <w:tbl>
      <w:tblPr>
        <w:tblStyle w:val="2"/>
        <w:tblW w:w="92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9"/>
        <w:gridCol w:w="2250"/>
        <w:gridCol w:w="1759"/>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9" w:type="dxa"/>
            <w:vAlign w:val="center"/>
          </w:tcPr>
          <w:p>
            <w:pPr>
              <w:spacing w:after="0"/>
              <w:jc w:val="center"/>
              <w:rPr>
                <w:rFonts w:ascii="宋体" w:hAnsi="宋体"/>
                <w:sz w:val="24"/>
                <w:szCs w:val="24"/>
              </w:rPr>
            </w:pPr>
            <w:r>
              <w:rPr>
                <w:rFonts w:hint="eastAsia" w:ascii="宋体" w:hAnsi="宋体"/>
                <w:sz w:val="24"/>
                <w:szCs w:val="24"/>
              </w:rPr>
              <w:t>党课主题</w:t>
            </w:r>
          </w:p>
        </w:tc>
        <w:tc>
          <w:tcPr>
            <w:tcW w:w="6955" w:type="dxa"/>
            <w:gridSpan w:val="3"/>
            <w:vAlign w:val="center"/>
          </w:tcPr>
          <w:p>
            <w:pPr>
              <w:spacing w:before="156" w:beforeLines="50" w:after="0"/>
              <w:jc w:val="center"/>
              <w:rPr>
                <w:rFonts w:hint="eastAsia" w:ascii="宋体" w:hAnsi="宋体" w:eastAsia="宋体"/>
                <w:sz w:val="24"/>
                <w:szCs w:val="24"/>
                <w:lang w:eastAsia="zh-CN"/>
              </w:rPr>
            </w:pPr>
            <w:r>
              <w:rPr>
                <w:rFonts w:hint="eastAsia" w:ascii="宋体" w:hAnsi="宋体"/>
                <w:sz w:val="24"/>
                <w:szCs w:val="24"/>
              </w:rPr>
              <w:t>《党课开讲啦—月月讲》学习</w:t>
            </w:r>
            <w:r>
              <w:rPr>
                <w:rFonts w:hint="eastAsia" w:ascii="宋体" w:hAnsi="宋体"/>
                <w:sz w:val="24"/>
                <w:szCs w:val="24"/>
                <w:lang w:eastAsia="zh-CN"/>
              </w:rPr>
              <w:t>心得交流会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9" w:type="dxa"/>
            <w:vAlign w:val="center"/>
          </w:tcPr>
          <w:p>
            <w:pPr>
              <w:spacing w:after="0"/>
              <w:jc w:val="center"/>
              <w:rPr>
                <w:rFonts w:ascii="宋体" w:hAnsi="宋体"/>
                <w:sz w:val="24"/>
                <w:szCs w:val="24"/>
              </w:rPr>
            </w:pPr>
            <w:r>
              <w:rPr>
                <w:rFonts w:hint="eastAsia" w:ascii="宋体" w:hAnsi="宋体"/>
                <w:sz w:val="24"/>
                <w:szCs w:val="24"/>
              </w:rPr>
              <w:t>时间</w:t>
            </w:r>
          </w:p>
        </w:tc>
        <w:tc>
          <w:tcPr>
            <w:tcW w:w="2250" w:type="dxa"/>
            <w:vAlign w:val="center"/>
          </w:tcPr>
          <w:p>
            <w:pPr>
              <w:spacing w:after="0"/>
              <w:jc w:val="center"/>
              <w:rPr>
                <w:rFonts w:ascii="宋体" w:hAnsi="宋体"/>
                <w:sz w:val="24"/>
                <w:szCs w:val="24"/>
              </w:rPr>
            </w:pPr>
            <w:r>
              <w:rPr>
                <w:rFonts w:ascii="宋体" w:hAnsi="宋体"/>
                <w:sz w:val="24"/>
                <w:szCs w:val="24"/>
              </w:rPr>
              <w:t>11</w:t>
            </w:r>
            <w:r>
              <w:rPr>
                <w:rFonts w:hint="eastAsia" w:ascii="宋体" w:hAnsi="宋体"/>
                <w:sz w:val="24"/>
                <w:szCs w:val="24"/>
              </w:rPr>
              <w:t>月</w:t>
            </w:r>
            <w:r>
              <w:rPr>
                <w:rFonts w:ascii="宋体" w:hAnsi="宋体"/>
                <w:sz w:val="24"/>
                <w:szCs w:val="24"/>
              </w:rPr>
              <w:t>1</w:t>
            </w:r>
            <w:r>
              <w:rPr>
                <w:rFonts w:hint="eastAsia" w:ascii="宋体" w:hAnsi="宋体"/>
                <w:sz w:val="24"/>
                <w:szCs w:val="24"/>
                <w:lang w:val="en-US" w:eastAsia="zh-CN"/>
              </w:rPr>
              <w:t>4</w:t>
            </w:r>
            <w:r>
              <w:rPr>
                <w:rFonts w:hint="eastAsia" w:ascii="宋体" w:hAnsi="宋体"/>
                <w:sz w:val="24"/>
                <w:szCs w:val="24"/>
              </w:rPr>
              <w:t>日1</w:t>
            </w:r>
            <w:r>
              <w:rPr>
                <w:rFonts w:ascii="宋体" w:hAnsi="宋体"/>
                <w:sz w:val="24"/>
                <w:szCs w:val="24"/>
              </w:rPr>
              <w:t>6</w:t>
            </w:r>
            <w:r>
              <w:rPr>
                <w:rFonts w:hint="eastAsia" w:ascii="宋体" w:hAnsi="宋体"/>
                <w:sz w:val="24"/>
                <w:szCs w:val="24"/>
              </w:rPr>
              <w:t>：0</w:t>
            </w:r>
            <w:r>
              <w:rPr>
                <w:rFonts w:ascii="宋体" w:hAnsi="宋体"/>
                <w:sz w:val="24"/>
                <w:szCs w:val="24"/>
              </w:rPr>
              <w:t>0</w:t>
            </w:r>
          </w:p>
        </w:tc>
        <w:tc>
          <w:tcPr>
            <w:tcW w:w="1759" w:type="dxa"/>
            <w:vAlign w:val="center"/>
          </w:tcPr>
          <w:p>
            <w:pPr>
              <w:spacing w:after="0"/>
              <w:jc w:val="center"/>
              <w:rPr>
                <w:rFonts w:ascii="宋体" w:hAnsi="宋体"/>
                <w:sz w:val="24"/>
                <w:szCs w:val="24"/>
              </w:rPr>
            </w:pPr>
            <w:r>
              <w:rPr>
                <w:rFonts w:hint="eastAsia" w:ascii="宋体" w:hAnsi="宋体"/>
                <w:sz w:val="24"/>
                <w:szCs w:val="24"/>
              </w:rPr>
              <w:t>地点</w:t>
            </w:r>
          </w:p>
        </w:tc>
        <w:tc>
          <w:tcPr>
            <w:tcW w:w="2946" w:type="dxa"/>
            <w:vAlign w:val="center"/>
          </w:tcPr>
          <w:p>
            <w:pPr>
              <w:spacing w:after="0"/>
              <w:jc w:val="center"/>
              <w:rPr>
                <w:rFonts w:hint="eastAsia" w:ascii="宋体" w:hAnsi="宋体" w:eastAsia="宋体"/>
                <w:sz w:val="24"/>
                <w:szCs w:val="24"/>
                <w:lang w:eastAsia="zh-CN"/>
              </w:rPr>
            </w:pPr>
            <w:r>
              <w:rPr>
                <w:rFonts w:hint="eastAsia" w:ascii="宋体" w:hAnsi="宋体"/>
                <w:sz w:val="24"/>
                <w:szCs w:val="24"/>
                <w:lang w:eastAsia="zh-CN"/>
              </w:rPr>
              <w:t>线上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9" w:type="dxa"/>
            <w:vAlign w:val="center"/>
          </w:tcPr>
          <w:p>
            <w:pPr>
              <w:spacing w:after="0"/>
              <w:jc w:val="center"/>
              <w:rPr>
                <w:rFonts w:ascii="宋体" w:hAnsi="宋体"/>
                <w:sz w:val="24"/>
                <w:szCs w:val="24"/>
              </w:rPr>
            </w:pPr>
            <w:r>
              <w:rPr>
                <w:rFonts w:hint="eastAsia" w:ascii="宋体" w:hAnsi="宋体"/>
                <w:sz w:val="24"/>
                <w:szCs w:val="24"/>
              </w:rPr>
              <w:t>主持人</w:t>
            </w:r>
          </w:p>
        </w:tc>
        <w:tc>
          <w:tcPr>
            <w:tcW w:w="2250" w:type="dxa"/>
            <w:vAlign w:val="center"/>
          </w:tcPr>
          <w:p>
            <w:pPr>
              <w:spacing w:after="0"/>
              <w:jc w:val="center"/>
              <w:rPr>
                <w:rFonts w:ascii="宋体" w:hAnsi="宋体"/>
                <w:sz w:val="24"/>
                <w:szCs w:val="24"/>
              </w:rPr>
            </w:pPr>
            <w:r>
              <w:rPr>
                <w:rFonts w:hint="eastAsia" w:ascii="宋体" w:hAnsi="宋体"/>
                <w:sz w:val="24"/>
                <w:szCs w:val="24"/>
              </w:rPr>
              <w:t>张晓飞(支部书记)</w:t>
            </w:r>
          </w:p>
        </w:tc>
        <w:tc>
          <w:tcPr>
            <w:tcW w:w="1759" w:type="dxa"/>
            <w:vAlign w:val="center"/>
          </w:tcPr>
          <w:p>
            <w:pPr>
              <w:spacing w:after="0"/>
              <w:jc w:val="center"/>
              <w:rPr>
                <w:rFonts w:ascii="宋体" w:hAnsi="宋体"/>
                <w:sz w:val="24"/>
                <w:szCs w:val="24"/>
              </w:rPr>
            </w:pPr>
            <w:r>
              <w:rPr>
                <w:rFonts w:hint="eastAsia" w:ascii="宋体" w:hAnsi="宋体"/>
                <w:sz w:val="24"/>
                <w:szCs w:val="24"/>
              </w:rPr>
              <w:t>记录人</w:t>
            </w:r>
          </w:p>
        </w:tc>
        <w:tc>
          <w:tcPr>
            <w:tcW w:w="2946" w:type="dxa"/>
            <w:vAlign w:val="center"/>
          </w:tcPr>
          <w:p>
            <w:pPr>
              <w:spacing w:after="0"/>
              <w:jc w:val="center"/>
              <w:rPr>
                <w:rFonts w:ascii="宋体" w:hAnsi="宋体"/>
                <w:sz w:val="24"/>
                <w:szCs w:val="24"/>
              </w:rPr>
            </w:pPr>
            <w:r>
              <w:rPr>
                <w:rFonts w:hint="eastAsia" w:ascii="宋体" w:hAnsi="宋体"/>
                <w:sz w:val="24"/>
                <w:szCs w:val="24"/>
              </w:rPr>
              <w:t>任梓豪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9" w:type="dxa"/>
            <w:vAlign w:val="center"/>
          </w:tcPr>
          <w:p>
            <w:pPr>
              <w:spacing w:after="0"/>
              <w:jc w:val="center"/>
              <w:rPr>
                <w:rFonts w:ascii="宋体" w:hAnsi="宋体"/>
                <w:sz w:val="24"/>
                <w:szCs w:val="24"/>
              </w:rPr>
            </w:pPr>
            <w:r>
              <w:rPr>
                <w:rFonts w:hint="eastAsia" w:ascii="宋体" w:hAnsi="宋体"/>
                <w:sz w:val="24"/>
                <w:szCs w:val="24"/>
              </w:rPr>
              <w:t>应到人数</w:t>
            </w:r>
          </w:p>
        </w:tc>
        <w:tc>
          <w:tcPr>
            <w:tcW w:w="2250" w:type="dxa"/>
            <w:vAlign w:val="center"/>
          </w:tcPr>
          <w:p>
            <w:pPr>
              <w:spacing w:after="0"/>
              <w:jc w:val="center"/>
              <w:rPr>
                <w:rFonts w:ascii="宋体" w:hAnsi="宋体"/>
                <w:sz w:val="24"/>
                <w:szCs w:val="24"/>
              </w:rPr>
            </w:pPr>
            <w:r>
              <w:rPr>
                <w:rFonts w:hint="eastAsia" w:ascii="宋体" w:hAnsi="宋体"/>
                <w:sz w:val="24"/>
                <w:szCs w:val="24"/>
              </w:rPr>
              <w:t>1</w:t>
            </w:r>
            <w:r>
              <w:rPr>
                <w:rFonts w:ascii="宋体" w:hAnsi="宋体"/>
                <w:sz w:val="24"/>
                <w:szCs w:val="24"/>
              </w:rPr>
              <w:t>3</w:t>
            </w:r>
          </w:p>
        </w:tc>
        <w:tc>
          <w:tcPr>
            <w:tcW w:w="1759" w:type="dxa"/>
            <w:vAlign w:val="center"/>
          </w:tcPr>
          <w:p>
            <w:pPr>
              <w:spacing w:after="0"/>
              <w:jc w:val="center"/>
              <w:rPr>
                <w:rFonts w:ascii="宋体" w:hAnsi="宋体"/>
                <w:sz w:val="24"/>
                <w:szCs w:val="24"/>
              </w:rPr>
            </w:pPr>
            <w:r>
              <w:rPr>
                <w:rFonts w:hint="eastAsia" w:ascii="宋体" w:hAnsi="宋体"/>
                <w:sz w:val="24"/>
                <w:szCs w:val="24"/>
              </w:rPr>
              <w:t>实到人数</w:t>
            </w:r>
          </w:p>
        </w:tc>
        <w:tc>
          <w:tcPr>
            <w:tcW w:w="2946" w:type="dxa"/>
            <w:vAlign w:val="center"/>
          </w:tcPr>
          <w:p>
            <w:pPr>
              <w:spacing w:after="0"/>
              <w:jc w:val="center"/>
              <w:rPr>
                <w:rFonts w:ascii="宋体" w:hAnsi="宋体"/>
                <w:sz w:val="24"/>
                <w:szCs w:val="24"/>
              </w:rPr>
            </w:pPr>
            <w:r>
              <w:rPr>
                <w:rFonts w:ascii="宋体" w:hAnsi="宋体"/>
                <w:sz w:val="24"/>
                <w:szCs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5" w:hRule="atLeast"/>
        </w:trPr>
        <w:tc>
          <w:tcPr>
            <w:tcW w:w="2259" w:type="dxa"/>
            <w:vAlign w:val="center"/>
          </w:tcPr>
          <w:p>
            <w:pPr>
              <w:spacing w:after="0"/>
              <w:jc w:val="center"/>
              <w:rPr>
                <w:rFonts w:ascii="宋体" w:hAnsi="宋体"/>
                <w:sz w:val="24"/>
                <w:szCs w:val="24"/>
              </w:rPr>
            </w:pPr>
            <w:r>
              <w:rPr>
                <w:rFonts w:hint="eastAsia" w:ascii="宋体" w:hAnsi="宋体"/>
                <w:sz w:val="24"/>
                <w:szCs w:val="24"/>
              </w:rPr>
              <w:t>缺席名单及原因</w:t>
            </w:r>
          </w:p>
        </w:tc>
        <w:tc>
          <w:tcPr>
            <w:tcW w:w="6955" w:type="dxa"/>
            <w:gridSpan w:val="3"/>
            <w:vAlign w:val="center"/>
          </w:tcPr>
          <w:p>
            <w:pPr>
              <w:spacing w:after="0"/>
              <w:jc w:val="center"/>
              <w:rPr>
                <w:rFonts w:ascii="宋体" w:hAnsi="宋体"/>
                <w:sz w:val="24"/>
                <w:szCs w:val="24"/>
              </w:rPr>
            </w:pPr>
            <w:bookmarkStart w:id="0" w:name="_GoBack"/>
            <w:bookmarkEnd w:id="0"/>
            <w:r>
              <w:rPr>
                <w:rFonts w:hint="eastAsia" w:ascii="宋体" w:hAnsi="宋体"/>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trPr>
        <w:tc>
          <w:tcPr>
            <w:tcW w:w="2259" w:type="dxa"/>
            <w:vAlign w:val="center"/>
          </w:tcPr>
          <w:p>
            <w:pPr>
              <w:spacing w:after="0"/>
              <w:jc w:val="center"/>
              <w:rPr>
                <w:rFonts w:ascii="宋体" w:hAnsi="宋体"/>
                <w:sz w:val="24"/>
                <w:szCs w:val="24"/>
              </w:rPr>
            </w:pPr>
            <w:r>
              <w:rPr>
                <w:rFonts w:hint="eastAsia" w:ascii="宋体" w:hAnsi="宋体"/>
                <w:sz w:val="24"/>
                <w:szCs w:val="24"/>
              </w:rPr>
              <w:t>缺席人员补课情况</w:t>
            </w:r>
          </w:p>
        </w:tc>
        <w:tc>
          <w:tcPr>
            <w:tcW w:w="6955" w:type="dxa"/>
            <w:gridSpan w:val="3"/>
            <w:vAlign w:val="center"/>
          </w:tcPr>
          <w:p>
            <w:pPr>
              <w:spacing w:after="0"/>
              <w:jc w:val="center"/>
              <w:rPr>
                <w:rFonts w:ascii="宋体" w:hAnsi="宋体"/>
                <w:sz w:val="24"/>
                <w:szCs w:val="24"/>
              </w:rPr>
            </w:pPr>
            <w:r>
              <w:rPr>
                <w:rFonts w:hint="eastAsia" w:ascii="宋体" w:hAnsi="宋体"/>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0" w:hRule="atLeast"/>
        </w:trPr>
        <w:tc>
          <w:tcPr>
            <w:tcW w:w="9214" w:type="dxa"/>
            <w:gridSpan w:val="4"/>
          </w:tcPr>
          <w:p>
            <w:pPr>
              <w:spacing w:after="0"/>
              <w:jc w:val="both"/>
              <w:rPr>
                <w:rFonts w:ascii="仿宋" w:hAnsi="仿宋" w:eastAsia="仿宋"/>
                <w:bCs/>
                <w:color w:val="FF0000"/>
                <w:sz w:val="24"/>
                <w:szCs w:val="24"/>
              </w:rPr>
            </w:pPr>
          </w:p>
          <w:p>
            <w:pPr>
              <w:spacing w:after="0" w:line="360" w:lineRule="auto"/>
              <w:ind w:firstLine="482" w:firstLineChars="200"/>
              <w:jc w:val="both"/>
              <w:rPr>
                <w:rFonts w:ascii="仿宋" w:hAnsi="仿宋" w:eastAsia="仿宋"/>
                <w:b/>
                <w:bCs/>
                <w:sz w:val="24"/>
                <w:szCs w:val="24"/>
              </w:rPr>
            </w:pPr>
            <w:r>
              <w:rPr>
                <w:rFonts w:hint="eastAsia" w:ascii="仿宋" w:hAnsi="仿宋" w:eastAsia="仿宋"/>
                <w:b/>
                <w:bCs/>
                <w:sz w:val="24"/>
                <w:szCs w:val="24"/>
              </w:rPr>
              <w:t>（一）支部书记上党课</w:t>
            </w:r>
          </w:p>
          <w:p>
            <w:pPr>
              <w:spacing w:after="0" w:line="360" w:lineRule="auto"/>
              <w:ind w:firstLine="480" w:firstLineChars="200"/>
              <w:jc w:val="both"/>
              <w:rPr>
                <w:rFonts w:ascii="仿宋" w:hAnsi="仿宋" w:eastAsia="仿宋"/>
                <w:sz w:val="24"/>
                <w:szCs w:val="24"/>
              </w:rPr>
            </w:pPr>
            <w:r>
              <w:rPr>
                <w:rFonts w:hint="eastAsia" w:ascii="仿宋" w:hAnsi="仿宋" w:eastAsia="仿宋"/>
                <w:sz w:val="24"/>
                <w:szCs w:val="24"/>
              </w:rPr>
              <w:t xml:space="preserve">张晓飞：党课教育是强化党员意识、锤炼党性的重要途径。扎实开展党课教育,有利于推动全面从严治党要求和“三会-课”制度落地落实，增强党员教育的针对性有效性，引导广大党员自觉做习近平新时代中国特色社会主义思想的坚定信仰者和忠实实践者。通过对党课的学习能更加明确了教育教学工作的方向、目标，为实现中华民族伟大复兴贡献自己的力量。 </w:t>
            </w:r>
          </w:p>
          <w:p>
            <w:pPr>
              <w:spacing w:after="0" w:line="360" w:lineRule="auto"/>
              <w:ind w:firstLine="482" w:firstLineChars="200"/>
              <w:jc w:val="both"/>
              <w:rPr>
                <w:rFonts w:ascii="仿宋" w:hAnsi="仿宋" w:eastAsia="仿宋"/>
                <w:b/>
                <w:bCs/>
                <w:sz w:val="24"/>
                <w:szCs w:val="24"/>
              </w:rPr>
            </w:pPr>
            <w:r>
              <w:rPr>
                <w:rFonts w:hint="eastAsia" w:ascii="仿宋" w:hAnsi="仿宋" w:eastAsia="仿宋"/>
                <w:b/>
                <w:bCs/>
                <w:sz w:val="24"/>
                <w:szCs w:val="24"/>
              </w:rPr>
              <w:t>（二）交流体会</w:t>
            </w:r>
          </w:p>
          <w:p>
            <w:pPr>
              <w:spacing w:after="0" w:line="360" w:lineRule="auto"/>
              <w:ind w:firstLine="480"/>
              <w:jc w:val="both"/>
              <w:rPr>
                <w:rFonts w:ascii="仿宋" w:hAnsi="仿宋" w:eastAsia="仿宋"/>
                <w:sz w:val="24"/>
                <w:szCs w:val="24"/>
              </w:rPr>
            </w:pPr>
            <w:r>
              <w:rPr>
                <w:rFonts w:hint="eastAsia" w:ascii="仿宋" w:hAnsi="仿宋" w:eastAsia="仿宋"/>
                <w:sz w:val="24"/>
                <w:szCs w:val="24"/>
              </w:rPr>
              <w:t>张晓飞：下面，请大家结合党课学习内容，围绕本职工作进行交流发言研讨。</w:t>
            </w:r>
          </w:p>
          <w:p>
            <w:pPr>
              <w:spacing w:after="0" w:line="360" w:lineRule="auto"/>
              <w:ind w:firstLine="480"/>
              <w:jc w:val="both"/>
              <w:rPr>
                <w:rFonts w:ascii="仿宋" w:hAnsi="仿宋" w:eastAsia="仿宋"/>
                <w:sz w:val="24"/>
                <w:szCs w:val="24"/>
              </w:rPr>
            </w:pPr>
            <w:r>
              <w:rPr>
                <w:rFonts w:hint="eastAsia" w:ascii="仿宋" w:hAnsi="仿宋" w:eastAsia="仿宋"/>
                <w:sz w:val="24"/>
                <w:szCs w:val="24"/>
              </w:rPr>
              <w:t>周炼：优秀党课系列通过课堂讲授，实地探访讲解等形式生动形象地学习了党史知识和党史故事。实地探访红色展馆，一百年过去，不变的是树木地砖，变得是风云时事，通过静静伫立的建筑，我们链接过往与当下，更深入更具体地感悟党从何而来，又走过哪些艰难道路。加深我对党的具象认识，也提高了我的党性。</w:t>
            </w:r>
          </w:p>
          <w:p>
            <w:pPr>
              <w:spacing w:after="0" w:line="360" w:lineRule="auto"/>
              <w:ind w:firstLine="480"/>
              <w:jc w:val="both"/>
              <w:rPr>
                <w:rFonts w:ascii="仿宋_GB2312" w:hAnsi="华文中宋" w:eastAsia="仿宋_GB2312"/>
                <w:sz w:val="28"/>
                <w:szCs w:val="28"/>
              </w:rPr>
            </w:pPr>
            <w:r>
              <w:drawing>
                <wp:inline distT="0" distB="0" distL="0" distR="0">
                  <wp:extent cx="2355215" cy="200215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62233" cy="2008344"/>
                          </a:xfrm>
                          <a:prstGeom prst="rect">
                            <a:avLst/>
                          </a:prstGeom>
                          <a:noFill/>
                          <a:ln>
                            <a:noFill/>
                          </a:ln>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黄家耀：优秀党课系列通过课堂讲授，为我们讲述了党史知识和党史故事。学而思、思而践、践而悟。在我看来，“学党史”是手段，“悟思想”是根本，“办实事”是重点，“开新局”是目标。深刻学习领悟习近平新时代中国特色社会主义思想，出发点和落脚点是融入思想灵魂、化作行动指南，学以致用、以用促学。我们要在不断的学习中汲取前行的力量。</w:t>
            </w:r>
          </w:p>
          <w:p>
            <w:pPr>
              <w:spacing w:after="0" w:line="360" w:lineRule="auto"/>
              <w:ind w:firstLine="480"/>
              <w:jc w:val="both"/>
              <w:rPr>
                <w:rFonts w:ascii="仿宋_GB2312" w:hAnsi="华文中宋" w:eastAsia="仿宋_GB2312"/>
                <w:sz w:val="28"/>
                <w:szCs w:val="28"/>
              </w:rPr>
            </w:pPr>
            <w:r>
              <w:drawing>
                <wp:inline distT="0" distB="0" distL="0" distR="0">
                  <wp:extent cx="3090545" cy="2317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05724" cy="2328775"/>
                          </a:xfrm>
                          <a:prstGeom prst="rect">
                            <a:avLst/>
                          </a:prstGeom>
                          <a:noFill/>
                          <a:ln>
                            <a:noFill/>
                          </a:ln>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王昊琛：优秀党课系列通过课堂讲授，让我受益匪浅。现在我们党不断适应新的形势变化和发展，不断改变治国的方针策略，这是求真务实，与时俱进的精神。但是共产党员的本色不能变，全心全意为人民服务的宗旨不能变，也正是因为我们党一直秉承着这个正确的服务宗旨，才能得到人民群众的支持和拥护，革命的事业才能从弱小走向强大、从胜利走向更大的胜利。</w:t>
            </w:r>
          </w:p>
          <w:p>
            <w:pPr>
              <w:spacing w:after="0" w:line="360" w:lineRule="auto"/>
              <w:ind w:firstLine="480"/>
              <w:jc w:val="both"/>
              <w:rPr>
                <w:rFonts w:ascii="仿宋_GB2312" w:hAnsi="华文中宋" w:eastAsia="仿宋_GB2312"/>
                <w:sz w:val="28"/>
                <w:szCs w:val="28"/>
              </w:rPr>
            </w:pPr>
            <w:r>
              <w:drawing>
                <wp:inline distT="0" distB="0" distL="0" distR="0">
                  <wp:extent cx="3120390" cy="23406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147432" cy="2360749"/>
                          </a:xfrm>
                          <a:prstGeom prst="rect">
                            <a:avLst/>
                          </a:prstGeom>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夏彦诚：学习党史论联系实际是党留给我们的优良传统和宝贵经验。今天，我们在党课中学习党的历史就是为了吸取成功的经验，总结失败的教训。充分借鉴历史，解决好工作中的新问题、新矛盾。历史是过去传到将来的回声，是将来对过去的反映。学好党的历史，了解过去才能把握今天，把握今天才能创造明天。从革命前辈的手里接过历史的接力棒，我们这代人要做好承上启下的历史任务，不断保持和发扬党的胜利成果。</w:t>
            </w:r>
          </w:p>
          <w:p>
            <w:pPr>
              <w:spacing w:after="0" w:line="360" w:lineRule="auto"/>
              <w:ind w:firstLine="480"/>
              <w:jc w:val="both"/>
              <w:rPr>
                <w:rFonts w:ascii="仿宋_GB2312" w:hAnsi="华文中宋" w:eastAsia="仿宋_GB2312"/>
                <w:sz w:val="28"/>
                <w:szCs w:val="28"/>
              </w:rPr>
            </w:pPr>
            <w:r>
              <w:drawing>
                <wp:inline distT="0" distB="0" distL="0" distR="0">
                  <wp:extent cx="3229610" cy="242252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34255" cy="2425871"/>
                          </a:xfrm>
                          <a:prstGeom prst="rect">
                            <a:avLst/>
                          </a:prstGeom>
                          <a:noFill/>
                          <a:ln>
                            <a:noFill/>
                          </a:ln>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任梓豪：在对优秀党课进行学习后，我感受良多，受益匪浅。人无精神不立，国无精神不强。物质可以变成精神,精神可以变成物质。精神力量之所以伟大，因为它能够转化为推动社会发展的物质力量。坚定理想信念,守共产党人精神追求,始终是共产党人安身立命的根本。真正学好历史精神，用历史精神感召人、陶冶人、教育人，激发党员领导干部的历史担当、情怀、责任、信念,让他们不忘初心、牢记使命、永远奋斗，这正是“四史”学习教育的精髓所在。在今后的学习与工作中,我将满怀“四个自信”， 承着“胸怀祖国、放眼世界、心系社会、志在利民”的院训，以对社会、对国家的热忱，积极投身于实现中华民族伟大复兴中国梦的实践中法，敢于有梦、勇于追梦、勤于圆梦,学思践。</w:t>
            </w:r>
          </w:p>
          <w:p>
            <w:pPr>
              <w:spacing w:after="0" w:line="360" w:lineRule="auto"/>
              <w:ind w:firstLine="480"/>
              <w:jc w:val="both"/>
              <w:rPr>
                <w:rFonts w:ascii="仿宋_GB2312" w:hAnsi="华文中宋" w:eastAsia="仿宋_GB2312"/>
                <w:sz w:val="28"/>
                <w:szCs w:val="28"/>
              </w:rPr>
            </w:pPr>
            <w:r>
              <w:drawing>
                <wp:inline distT="0" distB="0" distL="0" distR="0">
                  <wp:extent cx="3001010" cy="225171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10176" cy="2258133"/>
                          </a:xfrm>
                          <a:prstGeom prst="rect">
                            <a:avLst/>
                          </a:prstGeom>
                          <a:noFill/>
                          <a:ln>
                            <a:noFill/>
                          </a:ln>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陈梦婷：优秀党课系列通过课堂讲授，让我感受到了党史学习的重要性。总结党的百年奋斗重大成就和历史经验，要坚持辩证唯物主义和历史唯物主义的方法论，用具体历史的、客观全面的、联系发展的观点来看待党的历史。要坚持正确党史观、树立大历史观，准确把握党的历史发展的主题主线、主流本质，正确对待党在前进道路上经历的失误和曲折，从成功中吸取经验，从失误中吸取教训，不断开辟走向胜利的道路。</w:t>
            </w:r>
          </w:p>
          <w:p>
            <w:pPr>
              <w:spacing w:after="0" w:line="360" w:lineRule="auto"/>
              <w:ind w:firstLine="480"/>
              <w:jc w:val="both"/>
              <w:rPr>
                <w:rFonts w:ascii="仿宋_GB2312" w:hAnsi="华文中宋" w:eastAsia="仿宋_GB2312"/>
                <w:sz w:val="28"/>
                <w:szCs w:val="28"/>
              </w:rPr>
            </w:pPr>
            <w:r>
              <w:drawing>
                <wp:inline distT="0" distB="0" distL="0" distR="0">
                  <wp:extent cx="3001010" cy="20529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012069" cy="2061048"/>
                          </a:xfrm>
                          <a:prstGeom prst="rect">
                            <a:avLst/>
                          </a:prstGeom>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宋洁睿：优秀党课系列通过网络课堂讲授，经过 讲解,我们对于党性有了更加深刻的理解,从而我们可以在日常的生活中,不断提升自己的党性修养,完善自己。党性,即一致的行动,一致的意见,集体主义。我们要使许多自觉的个性集中起来,对一定的问题,一定的事情采取一致的行动,一致的意见,有统一的意志,这是我们党性所要求的,每个干部都要把党性放在第一位。作为一名大学生,作为一名预备党员,我们更应该严格要求自己,不 提升自己的党性修养,锻炼自己各方面的能力。</w:t>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董嘉琦：今天我学习了优秀党课，从中我感受到我国在建党百年期间的迅速发展。中国共产党根基在人民，血脉在人民，力量在人民。我们党历来重视党史学习教育，注重用党的奋斗历程和伟大成就鼓舞斗志，明确方向，用党的光荣传统和优良作风坚定信念，凝聚力量，砥砺品格。我们要坚持正确的党史观，树立大历史观。在学习党的历史过程中，只有了解历史，才能开阔我们的视野，才能坚持正确路线，方针与政策，才能有助于提高自身的组织领导与工作能力。</w:t>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华晴：网络党校,是我们提高自身素质的平台，开阔视野的窗口</w:t>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　　网络党课内容详实全面，老师的讲解深刻有趣，形式多样。引起了我的极大兴趣，让我在企业中也能对党史进行线上学习。使我了解了先辈们创业的艰辛和他们伟大的人格魅力，以及中国共产党的光辉历史。帮助我树立了更加正确科学的人生观、价值观、世界观，有利于提高自己的政治意识和党史知识。</w:t>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 xml:space="preserve">       我将在学习之中不断进步，锻炼自己各方面的能力，向优秀的共产党员看齐。</w:t>
            </w:r>
          </w:p>
          <w:p>
            <w:pPr>
              <w:spacing w:after="0" w:line="360" w:lineRule="auto"/>
              <w:ind w:firstLine="480"/>
              <w:jc w:val="both"/>
              <w:rPr>
                <w:rFonts w:ascii="仿宋_GB2312" w:hAnsi="华文中宋" w:eastAsia="仿宋_GB2312"/>
                <w:sz w:val="28"/>
                <w:szCs w:val="28"/>
              </w:rPr>
            </w:pPr>
            <w:r>
              <w:drawing>
                <wp:inline distT="0" distB="0" distL="0" distR="0">
                  <wp:extent cx="2315210" cy="514604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28612" cy="5174778"/>
                          </a:xfrm>
                          <a:prstGeom prst="rect">
                            <a:avLst/>
                          </a:prstGeom>
                          <a:noFill/>
                          <a:ln>
                            <a:noFill/>
                          </a:ln>
                        </pic:spPr>
                      </pic:pic>
                    </a:graphicData>
                  </a:graphic>
                </wp:inline>
              </w:drawing>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王俞鑫：在对本月“月月讲”优秀党课进行学习后，我感悟颇多。随着老师的演讲再次重温了中国共产党历史，时刻谨记长征历史，对长征精神、中共党史也有了更深的领悟。离开历史的原理是枯萎的，只有扎根于历史，原理的生命之树才会常青。我们应做到史论结合，将原理建立在历史事实的基础之上，从而使理论更为丰满。做好历史和原理的结合，有利于我们理解中国所走的道路。国家富强、民族振兴、人民幸福的中国梦不仅是我们梦寐以求的奋斗目标，也是中国历史发展的主旋律。</w:t>
            </w:r>
          </w:p>
          <w:p>
            <w:pPr>
              <w:spacing w:after="0" w:line="360" w:lineRule="auto"/>
              <w:ind w:firstLine="480"/>
              <w:jc w:val="both"/>
              <w:rPr>
                <w:rFonts w:ascii="仿宋_GB2312" w:hAnsi="华文中宋" w:eastAsia="仿宋_GB2312"/>
                <w:sz w:val="28"/>
                <w:szCs w:val="28"/>
              </w:rPr>
            </w:pPr>
            <w:r>
              <w:drawing>
                <wp:inline distT="0" distB="0" distL="0" distR="0">
                  <wp:extent cx="3140710" cy="15703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151201" cy="1575601"/>
                          </a:xfrm>
                          <a:prstGeom prst="rect">
                            <a:avLst/>
                          </a:prstGeom>
                        </pic:spPr>
                      </pic:pic>
                    </a:graphicData>
                  </a:graphic>
                </wp:inline>
              </w:drawing>
            </w:r>
          </w:p>
          <w:p>
            <w:pPr>
              <w:spacing w:after="0" w:line="360" w:lineRule="auto"/>
              <w:ind w:firstLine="480"/>
              <w:jc w:val="both"/>
              <w:rPr>
                <w:rFonts w:hint="eastAsia" w:ascii="仿宋_GB2312" w:hAnsi="华文中宋" w:eastAsia="仿宋_GB2312"/>
                <w:sz w:val="28"/>
                <w:szCs w:val="28"/>
              </w:rPr>
            </w:pPr>
            <w:r>
              <w:rPr>
                <w:rFonts w:hint="eastAsia" w:ascii="仿宋_GB2312" w:hAnsi="华文中宋" w:eastAsia="仿宋_GB2312"/>
                <w:sz w:val="28"/>
                <w:szCs w:val="28"/>
              </w:rPr>
              <w:t>李豪：党校课程是以老师的专题讲座形式展开的，不一样的老师有各自独有的讲课方式和精辟的见解。更重要的是每个老师不仅仅仅是“授之以鱼”，他们更强调的是“授之以渔”。从他们的激情讲课过程中，我也能体会到他们对党的热情和执着追求以及对我们的殷切期望。我们要坚持党的根本宗旨,全心全意为人民服务。当前，我们就应认真学习、深刻领会"三个代表“的重要思想，用"三个代表”明白自我的思想和行动，努力把我们党建设成为有中国特色的社会主义的坚强领导核心，为实现跨世纪的宏伟目标做出应有的贡献，更好的为人民服务!</w:t>
            </w:r>
          </w:p>
          <w:p>
            <w:pPr>
              <w:spacing w:after="0" w:line="360" w:lineRule="auto"/>
              <w:ind w:firstLine="480"/>
              <w:jc w:val="both"/>
              <w:rPr>
                <w:rFonts w:ascii="仿宋_GB2312" w:hAnsi="华文中宋" w:eastAsia="仿宋_GB2312"/>
                <w:sz w:val="28"/>
                <w:szCs w:val="28"/>
              </w:rPr>
            </w:pPr>
            <w:r>
              <w:rPr>
                <w:rFonts w:hint="eastAsia" w:ascii="仿宋_GB2312" w:hAnsi="华文中宋" w:eastAsia="仿宋_GB2312"/>
                <w:sz w:val="28"/>
                <w:szCs w:val="28"/>
              </w:rPr>
              <w:t>潘依乐：通过这次优秀党课学习，我了解到党的历史，是中华民族伟大复兴的历史，是带领广大贫困劳苦大众脱贫致富的历史。中国共产党自成立之初就把实现共产主义作为最高理想和最终目标，既有挫折也有挑战，但为中国人民谋幸福的初心不变，为中华民族谋复兴的使命不变，作为一名共产党员更要严格要求自己，不断进步。</w:t>
            </w:r>
          </w:p>
          <w:p>
            <w:pPr>
              <w:spacing w:after="0" w:line="360" w:lineRule="auto"/>
              <w:ind w:firstLine="480"/>
              <w:jc w:val="both"/>
              <w:rPr>
                <w:rFonts w:hint="eastAsia" w:ascii="仿宋_GB2312" w:hAnsi="华文中宋" w:eastAsia="仿宋_GB2312"/>
                <w:sz w:val="28"/>
                <w:szCs w:val="28"/>
              </w:rPr>
            </w:pPr>
            <w:r>
              <w:rPr>
                <w:rFonts w:ascii="仿宋_GB2312" w:hAnsi="华文中宋" w:eastAsia="仿宋_GB2312"/>
                <w:sz w:val="28"/>
                <w:szCs w:val="28"/>
              </w:rPr>
              <w:drawing>
                <wp:inline distT="0" distB="0" distL="0" distR="0">
                  <wp:extent cx="3759200" cy="21069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75361" cy="2115931"/>
                          </a:xfrm>
                          <a:prstGeom prst="rect">
                            <a:avLst/>
                          </a:prstGeom>
                          <a:noFill/>
                          <a:ln>
                            <a:noFill/>
                          </a:ln>
                        </pic:spPr>
                      </pic:pic>
                    </a:graphicData>
                  </a:graphic>
                </wp:inline>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240"/>
    <w:rsid w:val="00005AB4"/>
    <w:rsid w:val="000E3E98"/>
    <w:rsid w:val="001374CD"/>
    <w:rsid w:val="002865A9"/>
    <w:rsid w:val="0044315D"/>
    <w:rsid w:val="004B2800"/>
    <w:rsid w:val="005D12DA"/>
    <w:rsid w:val="006E7C8D"/>
    <w:rsid w:val="00845EF6"/>
    <w:rsid w:val="00950240"/>
    <w:rsid w:val="00E92B54"/>
    <w:rsid w:val="457267A8"/>
    <w:rsid w:val="4F6E5F47"/>
    <w:rsid w:val="67D43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kern w:val="0"/>
      <w:sz w:val="22"/>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411</Words>
  <Characters>2348</Characters>
  <Lines>19</Lines>
  <Paragraphs>5</Paragraphs>
  <TotalTime>1</TotalTime>
  <ScaleCrop>false</ScaleCrop>
  <LinksUpToDate>false</LinksUpToDate>
  <CharactersWithSpaces>2754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2021-11-28T12:46:00Z</dcterms:created>
  <dc:creator>任 梓豪</dc:creator>
  <cp:lastModifiedBy>Administrator</cp:lastModifiedBy>
  <dcterms:modified xsi:type="dcterms:W3CDTF">2021-12-05T02:52:57Z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9BF98F35D138467ABBBB0BF63BBF1BEC</vt:lpwstr>
  </property>
</Properties>
</file>