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0"/>
        </w:tabs>
        <w:spacing w:line="600" w:lineRule="atLeast"/>
        <w:jc w:val="center"/>
        <w:rPr>
          <w:rFonts w:ascii="华文中宋" w:hAnsi="华文中宋" w:eastAsia="华文中宋"/>
          <w:bCs/>
          <w:sz w:val="36"/>
          <w:szCs w:val="36"/>
        </w:rPr>
      </w:pPr>
      <w:r>
        <w:rPr>
          <w:rFonts w:hint="eastAsia" w:ascii="华文中宋" w:hAnsi="华文中宋" w:eastAsia="华文中宋"/>
          <w:bCs/>
          <w:sz w:val="36"/>
          <w:szCs w:val="36"/>
        </w:rPr>
        <w:t>艺术设计学院党委</w:t>
      </w:r>
    </w:p>
    <w:p>
      <w:pPr>
        <w:tabs>
          <w:tab w:val="left" w:pos="2100"/>
        </w:tabs>
        <w:spacing w:line="600" w:lineRule="atLeast"/>
        <w:jc w:val="center"/>
        <w:rPr>
          <w:rFonts w:ascii="华文中宋" w:hAnsi="华文中宋" w:eastAsia="华文中宋"/>
          <w:bCs/>
          <w:sz w:val="36"/>
          <w:szCs w:val="36"/>
        </w:rPr>
      </w:pPr>
      <w:r>
        <w:rPr>
          <w:rFonts w:hint="eastAsia" w:ascii="华文中宋" w:hAnsi="华文中宋" w:eastAsia="华文中宋"/>
          <w:bCs/>
          <w:sz w:val="36"/>
          <w:szCs w:val="36"/>
        </w:rPr>
        <w:t>“不忘初心、牢记使命”主题教育自查评估报告</w:t>
      </w:r>
    </w:p>
    <w:p>
      <w:pPr>
        <w:tabs>
          <w:tab w:val="left" w:pos="2100"/>
        </w:tabs>
        <w:spacing w:line="600" w:lineRule="atLeast"/>
        <w:jc w:val="center"/>
        <w:rPr>
          <w:rFonts w:ascii="华文中宋" w:hAnsi="华文中宋" w:eastAsia="华文中宋"/>
          <w:bCs/>
          <w:sz w:val="36"/>
          <w:szCs w:val="36"/>
        </w:rPr>
      </w:pPr>
    </w:p>
    <w:p>
      <w:pPr>
        <w:tabs>
          <w:tab w:val="left" w:pos="2100"/>
        </w:tabs>
        <w:spacing w:line="480" w:lineRule="exact"/>
        <w:ind w:firstLine="640" w:firstLineChars="200"/>
        <w:rPr>
          <w:rFonts w:ascii="仿宋" w:hAnsi="仿宋" w:eastAsia="仿宋" w:cs="仿宋"/>
          <w:sz w:val="30"/>
          <w:szCs w:val="30"/>
        </w:rPr>
      </w:pPr>
      <w:r>
        <w:rPr>
          <w:rFonts w:hint="eastAsia" w:ascii="仿宋" w:hAnsi="仿宋" w:eastAsia="仿宋"/>
          <w:sz w:val="32"/>
          <w:szCs w:val="32"/>
        </w:rPr>
        <w:t>为深入学习贯彻习近平新时代中国特色社会主义思想，</w:t>
      </w:r>
      <w:r>
        <w:rPr>
          <w:rFonts w:hint="eastAsia" w:ascii="仿宋" w:hAnsi="仿宋" w:eastAsia="仿宋" w:cs="仿宋"/>
          <w:sz w:val="30"/>
          <w:szCs w:val="30"/>
        </w:rPr>
        <w:t>根据“不忘初心、牢记使命”主题教育要求，艺术设计学院党委紧跟学校党委步伐，紧紧围绕守初心、担使命，找差距、抓落实的总要求，筑牢信仰之基、补足精神之钙、把稳思想之舵，坚持思想建党、理论强党，不断增强“四个意识”、坚定“四个自信”、坚决做到“两个维护”。坚持将学习教育、调查研究、检视反思、整改落实四项重点措施贯穿始终，实现了主题教育理论学习有收获、思想政治受洗礼、干事创业敢担当、为民服务解难题、清正廉洁作表率目标。</w:t>
      </w:r>
      <w:r>
        <w:rPr>
          <w:rFonts w:hint="eastAsia" w:ascii="Times New Roman" w:hAnsi="Times New Roman" w:eastAsia="仿宋" w:cs="Times New Roman"/>
          <w:color w:val="000000" w:themeColor="text1"/>
          <w:sz w:val="30"/>
          <w:szCs w:val="30"/>
        </w:rPr>
        <w:t>现对艺术设计学院党委“不忘初心、牢记使命”主题教育进行自查评估如下：</w:t>
      </w:r>
    </w:p>
    <w:p>
      <w:pPr>
        <w:spacing w:line="600" w:lineRule="atLeast"/>
        <w:ind w:firstLine="600" w:firstLineChars="200"/>
        <w:rPr>
          <w:rFonts w:ascii="黑体" w:hAnsi="黑体" w:eastAsia="黑体"/>
          <w:sz w:val="30"/>
          <w:szCs w:val="30"/>
        </w:rPr>
      </w:pPr>
      <w:r>
        <w:rPr>
          <w:rFonts w:hint="eastAsia" w:ascii="黑体" w:hAnsi="黑体" w:eastAsia="黑体"/>
          <w:sz w:val="30"/>
          <w:szCs w:val="30"/>
        </w:rPr>
        <w:t>一、工作总体情况</w:t>
      </w:r>
    </w:p>
    <w:p>
      <w:pPr>
        <w:tabs>
          <w:tab w:val="left" w:pos="2100"/>
        </w:tabs>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艺术设计学院党委认真落实上海市委和学校党委“不忘初心、牢记使命”主题教育的部署要求，按照“不划阶段、不分环节”的要求，以深化理论学习为基础，以抓实调查研究为载体，以深入检视问题为契机，以狠抓整改落实为驱动，切实把学习教育、调查研究、检视问题、整改落实四项重点措施。李江书记多次莅临学院调研、参与博士党支部组织生活、听课等指导；学院党委书记带头，艺术设计学院和中韩多媒体设计学院全体领导班子进行全覆盖调研；边调查、边研究、边整改。做到学习再深入、差距再审视、重点再聚焦、落实再细化，时刻把主题教育的主体责任扛在肩上，为主题教育构建良好的工作格局。</w:t>
      </w:r>
    </w:p>
    <w:p>
      <w:pPr>
        <w:tabs>
          <w:tab w:val="left" w:pos="2100"/>
        </w:tabs>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艺术设计学院党委现有党支部9个；党员153名，其中学生党员82名，教工党员71名。处级以上党员领导干部10名，党外领导干部2名。举行党委和领导班子集中学习研讨17次；提交调研报告9份；班子查找问题15项；处级党员干部查找问题27项；党员个人查找问题245项；发布主题教育新闻报道（包括校园网、学院网、精神文明网、党务公开网、学院党委微信平台）共计170篇。学院党委注重解决群众最急最忧最盼的紧迫问题，同群众的联系更直接，面对的矛盾问题更复杂，群众期待解决的问题更具体。要让群众叫好，必须向问题叫板，用群众获得感来检验主题教育效果。</w:t>
      </w:r>
    </w:p>
    <w:p>
      <w:pPr>
        <w:tabs>
          <w:tab w:val="left" w:pos="2100"/>
        </w:tabs>
        <w:spacing w:line="480" w:lineRule="exact"/>
        <w:ind w:firstLine="600" w:firstLineChars="200"/>
        <w:rPr>
          <w:rFonts w:ascii="仿宋" w:hAnsi="仿宋" w:eastAsia="仿宋" w:cs="仿宋"/>
          <w:sz w:val="30"/>
          <w:szCs w:val="30"/>
        </w:rPr>
      </w:pPr>
    </w:p>
    <w:p>
      <w:pPr>
        <w:numPr>
          <w:ilvl w:val="0"/>
          <w:numId w:val="1"/>
        </w:numPr>
        <w:spacing w:line="600" w:lineRule="atLeast"/>
        <w:ind w:firstLine="600" w:firstLineChars="200"/>
        <w:rPr>
          <w:rFonts w:ascii="黑体" w:hAnsi="黑体" w:eastAsia="黑体"/>
          <w:sz w:val="30"/>
          <w:szCs w:val="30"/>
        </w:rPr>
      </w:pPr>
      <w:r>
        <w:rPr>
          <w:rFonts w:hint="eastAsia" w:ascii="黑体" w:hAnsi="黑体" w:eastAsia="黑体"/>
          <w:sz w:val="30"/>
          <w:szCs w:val="30"/>
        </w:rPr>
        <w:t>工作成效</w:t>
      </w:r>
    </w:p>
    <w:p>
      <w:pPr>
        <w:numPr>
          <w:ilvl w:val="0"/>
          <w:numId w:val="2"/>
        </w:numPr>
        <w:spacing w:line="600" w:lineRule="atLeast"/>
        <w:ind w:firstLine="602" w:firstLineChars="200"/>
        <w:rPr>
          <w:rFonts w:ascii="Times New Roman" w:hAnsi="Times New Roman" w:eastAsia="仿宋" w:cs="Times New Roman"/>
          <w:b/>
          <w:bCs/>
          <w:color w:val="000000" w:themeColor="text1"/>
          <w:sz w:val="30"/>
          <w:szCs w:val="30"/>
        </w:rPr>
      </w:pPr>
      <w:r>
        <w:rPr>
          <w:rFonts w:hint="eastAsia" w:ascii="Times New Roman" w:hAnsi="Times New Roman" w:eastAsia="仿宋" w:cs="Times New Roman"/>
          <w:b/>
          <w:bCs/>
          <w:color w:val="000000" w:themeColor="text1"/>
          <w:sz w:val="30"/>
          <w:szCs w:val="30"/>
        </w:rPr>
        <w:t>学习教育方面</w:t>
      </w:r>
    </w:p>
    <w:p>
      <w:pPr>
        <w:tabs>
          <w:tab w:val="left" w:pos="2100"/>
        </w:tabs>
        <w:spacing w:line="480" w:lineRule="exact"/>
        <w:ind w:firstLine="602" w:firstLineChars="200"/>
        <w:rPr>
          <w:rFonts w:ascii="Times New Roman" w:hAnsi="Times New Roman" w:eastAsia="仿宋" w:cs="Times New Roman"/>
          <w:bCs/>
          <w:color w:val="000000" w:themeColor="text1"/>
          <w:sz w:val="30"/>
          <w:szCs w:val="30"/>
        </w:rPr>
      </w:pPr>
      <w:r>
        <w:rPr>
          <w:rFonts w:hint="eastAsia" w:ascii="仿宋" w:hAnsi="仿宋" w:eastAsia="仿宋" w:cs="仿宋"/>
          <w:b/>
          <w:bCs/>
          <w:sz w:val="30"/>
          <w:szCs w:val="30"/>
        </w:rPr>
        <w:t>以深化理论学习为基础。</w:t>
      </w:r>
      <w:r>
        <w:rPr>
          <w:rFonts w:hint="eastAsia" w:ascii="Times New Roman" w:hAnsi="Times New Roman" w:eastAsia="仿宋" w:cs="Times New Roman"/>
          <w:bCs/>
          <w:color w:val="000000" w:themeColor="text1"/>
          <w:sz w:val="30"/>
          <w:szCs w:val="30"/>
        </w:rPr>
        <w:t>习近平总书记指出：“学习是文明传承之途、人生成长之梯、政党巩固之基、国家兴盛之要。”对标习近平总书记考察上海重要讲话精神，与党的十九届四中全会精神，开展“不忘初心、牢记使命”主题教育学深悟透、学以促行。艺术设计学院党委把握总体要求，结合实际制定主题教育实施方案，实行“8+1”专题教育工程，即一堂党课思想洗礼、一班党员干部培训、一回深入调研落实、一场爱国主义教育、一次讲座参观学习、一份师生满意实事、一场主题生活会、一场民主生活会。</w:t>
      </w:r>
    </w:p>
    <w:p>
      <w:pPr>
        <w:tabs>
          <w:tab w:val="left" w:pos="2100"/>
        </w:tabs>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结合主题教育八个学习专题，通过党委联组学习研讨、班子集体学习研讨、个人自学等方式每次进行至少半天的学习研讨，集中沉下身、静下心来学思践悟。</w:t>
      </w:r>
      <w:r>
        <w:rPr>
          <w:rFonts w:hint="eastAsia" w:ascii="仿宋" w:hAnsi="仿宋" w:eastAsia="仿宋" w:cs="仿宋"/>
          <w:b/>
          <w:bCs/>
          <w:sz w:val="30"/>
          <w:szCs w:val="30"/>
        </w:rPr>
        <w:t>理想信念专题中，</w:t>
      </w:r>
      <w:r>
        <w:rPr>
          <w:rFonts w:hint="eastAsia" w:ascii="仿宋" w:hAnsi="仿宋" w:eastAsia="仿宋" w:cs="仿宋"/>
          <w:sz w:val="30"/>
          <w:szCs w:val="30"/>
        </w:rPr>
        <w:t>学习了《革命精神专题报告》、《烈士</w:t>
      </w:r>
      <w:r>
        <w:rPr>
          <w:rFonts w:ascii="仿宋" w:hAnsi="仿宋" w:eastAsia="仿宋" w:cs="仿宋"/>
          <w:sz w:val="30"/>
          <w:szCs w:val="30"/>
        </w:rPr>
        <w:t>纪念日</w:t>
      </w:r>
      <w:r>
        <w:rPr>
          <w:rFonts w:hint="eastAsia" w:ascii="仿宋" w:hAnsi="仿宋" w:eastAsia="仿宋" w:cs="仿宋"/>
          <w:sz w:val="30"/>
          <w:szCs w:val="30"/>
        </w:rPr>
        <w:t>学习研讨》、《观摩国庆阅兵式》；</w:t>
      </w:r>
      <w:r>
        <w:rPr>
          <w:rFonts w:hint="eastAsia" w:ascii="仿宋" w:hAnsi="仿宋" w:eastAsia="仿宋" w:cs="仿宋"/>
          <w:b/>
          <w:bCs/>
          <w:sz w:val="30"/>
          <w:szCs w:val="30"/>
        </w:rPr>
        <w:t>宗旨性质专题中，</w:t>
      </w:r>
      <w:r>
        <w:rPr>
          <w:rFonts w:hint="eastAsia" w:ascii="仿宋" w:hAnsi="仿宋" w:eastAsia="仿宋" w:cs="仿宋"/>
          <w:sz w:val="30"/>
          <w:szCs w:val="30"/>
        </w:rPr>
        <w:t>学习了学习习近平总书记在工作会议上的重要讲话深刻阐述的开展主题教育的重大意义、《习近平新时代中国特色社会主义思想学习纲要》、学习习近平考察上海重要讲话精神、习近平新时代中国特色社会主义思想理论体系和精神实质；</w:t>
      </w:r>
      <w:r>
        <w:rPr>
          <w:rFonts w:hint="eastAsia" w:ascii="仿宋" w:hAnsi="仿宋" w:eastAsia="仿宋" w:cs="仿宋"/>
          <w:b/>
          <w:bCs/>
          <w:sz w:val="30"/>
          <w:szCs w:val="30"/>
        </w:rPr>
        <w:t>党性修养专题中，</w:t>
      </w:r>
      <w:r>
        <w:rPr>
          <w:rFonts w:hint="eastAsia" w:ascii="仿宋" w:hAnsi="仿宋" w:eastAsia="仿宋" w:cs="仿宋"/>
          <w:sz w:val="30"/>
          <w:szCs w:val="30"/>
        </w:rPr>
        <w:t>学习了《知史爱党、知史爱国，守初心、担使命》、观看了红色抗战题材话剧《绝境》、观看《榜样4》、研读《深入学习习近平关于教育的重要论述》、观看纪录片《钟扬》；</w:t>
      </w:r>
      <w:r>
        <w:rPr>
          <w:rFonts w:hint="eastAsia" w:ascii="仿宋" w:hAnsi="仿宋" w:eastAsia="仿宋" w:cs="仿宋"/>
          <w:b/>
          <w:bCs/>
          <w:sz w:val="30"/>
          <w:szCs w:val="30"/>
        </w:rPr>
        <w:t>党的政治建设专题中，</w:t>
      </w:r>
      <w:r>
        <w:rPr>
          <w:rFonts w:hint="eastAsia" w:ascii="仿宋" w:hAnsi="仿宋" w:eastAsia="仿宋" w:cs="仿宋"/>
          <w:sz w:val="30"/>
          <w:szCs w:val="30"/>
        </w:rPr>
        <w:t>学习了参观遵义纪念馆图片展；</w:t>
      </w:r>
      <w:r>
        <w:rPr>
          <w:rFonts w:hint="eastAsia" w:ascii="仿宋" w:hAnsi="仿宋" w:eastAsia="仿宋" w:cs="仿宋"/>
          <w:b/>
          <w:bCs/>
          <w:sz w:val="30"/>
          <w:szCs w:val="30"/>
        </w:rPr>
        <w:t>政治纪律和政治规矩专题中，</w:t>
      </w:r>
      <w:r>
        <w:rPr>
          <w:rFonts w:hint="eastAsia" w:ascii="仿宋" w:hAnsi="仿宋" w:eastAsia="仿宋" w:cs="仿宋"/>
          <w:sz w:val="30"/>
          <w:szCs w:val="30"/>
        </w:rPr>
        <w:t>学习了关工委老书记讲党课“三会一课”制度的建设和执行；</w:t>
      </w:r>
      <w:r>
        <w:rPr>
          <w:rFonts w:hint="eastAsia" w:ascii="仿宋" w:hAnsi="仿宋" w:eastAsia="仿宋" w:cs="仿宋"/>
          <w:b/>
          <w:bCs/>
          <w:sz w:val="30"/>
          <w:szCs w:val="30"/>
        </w:rPr>
        <w:t>全面从严治党专题中，</w:t>
      </w:r>
      <w:r>
        <w:rPr>
          <w:rFonts w:hint="eastAsia" w:ascii="仿宋" w:hAnsi="仿宋" w:eastAsia="仿宋" w:cs="仿宋"/>
          <w:sz w:val="30"/>
          <w:szCs w:val="30"/>
        </w:rPr>
        <w:t>学习了《高校依法治校的理论与实践》；</w:t>
      </w:r>
      <w:r>
        <w:rPr>
          <w:rFonts w:hint="eastAsia" w:ascii="仿宋" w:hAnsi="仿宋" w:eastAsia="仿宋" w:cs="仿宋"/>
          <w:b/>
          <w:bCs/>
          <w:sz w:val="30"/>
          <w:szCs w:val="30"/>
        </w:rPr>
        <w:t>担当作为专题中，</w:t>
      </w:r>
      <w:r>
        <w:rPr>
          <w:rFonts w:hint="eastAsia" w:ascii="仿宋" w:hAnsi="仿宋" w:eastAsia="仿宋" w:cs="仿宋"/>
          <w:sz w:val="30"/>
          <w:szCs w:val="30"/>
        </w:rPr>
        <w:t>举办了艺术设计党委干部培训班暨第一期支部书记微党课、迎中华人民共和国成立70周年学习；</w:t>
      </w:r>
      <w:r>
        <w:rPr>
          <w:rFonts w:hint="eastAsia" w:ascii="仿宋" w:hAnsi="仿宋" w:eastAsia="仿宋" w:cs="仿宋"/>
          <w:b/>
          <w:bCs/>
          <w:sz w:val="30"/>
          <w:szCs w:val="30"/>
        </w:rPr>
        <w:t>廉洁自律专题中，</w:t>
      </w:r>
      <w:r>
        <w:rPr>
          <w:rFonts w:hint="eastAsia" w:ascii="仿宋" w:hAnsi="仿宋" w:eastAsia="仿宋" w:cs="仿宋"/>
          <w:sz w:val="30"/>
          <w:szCs w:val="30"/>
        </w:rPr>
        <w:t>学习了《中国共产党党章》、《中国共产党廉洁自律准则》和《中国共产党纪律处分条例》。</w:t>
      </w:r>
      <w:r>
        <w:rPr>
          <w:rFonts w:hint="eastAsia" w:ascii="仿宋" w:hAnsi="仿宋" w:eastAsia="仿宋" w:cs="仿宋"/>
          <w:b/>
          <w:bCs/>
          <w:sz w:val="30"/>
          <w:szCs w:val="30"/>
        </w:rPr>
        <w:t>在联组学习中，</w:t>
      </w:r>
      <w:r>
        <w:rPr>
          <w:rFonts w:hint="eastAsia" w:ascii="仿宋" w:hAnsi="仿宋" w:eastAsia="仿宋" w:cs="仿宋"/>
          <w:sz w:val="30"/>
          <w:szCs w:val="30"/>
        </w:rPr>
        <w:t>邀请了原上海市市级机关工作党委副书记徐善良老师进行了《学习贯彻十九届四中全会精神全面推进基层党建工作》讲座，与管理学院党委、数学外国语联合党委、服装学院党委和社会科学学部党总支进行联组学习研讨。组织大家结合各自思想和工作实际，谈认识体会、找差距不足、提改进措施，让大家在交流中共同提升，实现理论学习入心入脑，切实提高了思想认识，打牢了理论根基，做到了真学真懂真信真用。</w:t>
      </w:r>
    </w:p>
    <w:p>
      <w:pPr>
        <w:tabs>
          <w:tab w:val="left" w:pos="2100"/>
        </w:tabs>
        <w:spacing w:line="480" w:lineRule="exact"/>
        <w:ind w:firstLine="600" w:firstLineChars="200"/>
        <w:rPr>
          <w:rFonts w:ascii="仿宋" w:hAnsi="仿宋" w:eastAsia="仿宋" w:cs="仿宋"/>
          <w:sz w:val="30"/>
          <w:szCs w:val="30"/>
        </w:rPr>
      </w:pPr>
    </w:p>
    <w:p>
      <w:pPr>
        <w:spacing w:line="600" w:lineRule="atLeast"/>
        <w:ind w:firstLine="602" w:firstLineChars="200"/>
        <w:rPr>
          <w:rFonts w:ascii="Times New Roman" w:hAnsi="Times New Roman" w:eastAsia="仿宋" w:cs="Times New Roman"/>
          <w:b/>
          <w:bCs/>
          <w:color w:val="000000" w:themeColor="text1"/>
          <w:sz w:val="30"/>
          <w:szCs w:val="30"/>
        </w:rPr>
      </w:pPr>
      <w:r>
        <w:rPr>
          <w:rFonts w:hint="eastAsia" w:ascii="Times New Roman" w:hAnsi="Times New Roman" w:eastAsia="仿宋" w:cs="Times New Roman"/>
          <w:b/>
          <w:bCs/>
          <w:color w:val="000000" w:themeColor="text1"/>
          <w:sz w:val="30"/>
          <w:szCs w:val="30"/>
        </w:rPr>
        <w:t>2.调查研究方面</w:t>
      </w:r>
    </w:p>
    <w:p>
      <w:pPr>
        <w:tabs>
          <w:tab w:val="left" w:pos="2100"/>
        </w:tabs>
        <w:spacing w:line="480" w:lineRule="exact"/>
        <w:ind w:firstLine="602" w:firstLineChars="200"/>
        <w:rPr>
          <w:rFonts w:ascii="仿宋" w:hAnsi="仿宋" w:eastAsia="仿宋" w:cs="仿宋"/>
          <w:sz w:val="30"/>
          <w:szCs w:val="30"/>
        </w:rPr>
      </w:pPr>
      <w:r>
        <w:rPr>
          <w:rFonts w:hint="eastAsia" w:ascii="仿宋" w:hAnsi="仿宋" w:eastAsia="仿宋" w:cs="仿宋"/>
          <w:b/>
          <w:bCs/>
          <w:sz w:val="30"/>
          <w:szCs w:val="30"/>
        </w:rPr>
        <w:t>以抓实调查研究为载体。</w:t>
      </w:r>
      <w:r>
        <w:rPr>
          <w:rFonts w:hint="eastAsia" w:ascii="仿宋" w:hAnsi="仿宋" w:eastAsia="仿宋"/>
          <w:sz w:val="28"/>
          <w:szCs w:val="28"/>
        </w:rPr>
        <w:t>深悟讲话精神，谋划再深入。艺术设计学院党委坚持从主题教育一开始就突出问题导向，紧密结合落实上海市委、学校党委要求和当前正在做的工作，主要聚焦习近平总书记关于上海的重要指示批示开展调研，将学院党委的发展融入上海地区、长三角一体化的更大格局中。聚焦习近平总书记关于教育的重要论述，立足立德树人的根本，围绕学校三大发展战略、三全育人、加强思想政治工作和思政课建设，制定了《艺术设计学院党委“不忘初心、牢记使命”主题教育班子调查研究工作方案》，组织班子成员重点围绕专项整治8个方面内容，聚焦巡视反馈问题，单位自身查摆突出问题，干部群众反映集中问题，党委书记带头，班子成员集体制定方案。</w:t>
      </w:r>
      <w:r>
        <w:rPr>
          <w:rFonts w:hint="eastAsia" w:ascii="黑体" w:hAnsi="黑体" w:eastAsia="黑体"/>
          <w:bCs/>
          <w:sz w:val="28"/>
          <w:szCs w:val="28"/>
        </w:rPr>
        <w:t>一是</w:t>
      </w:r>
      <w:r>
        <w:rPr>
          <w:rFonts w:hint="eastAsia" w:ascii="仿宋" w:hAnsi="仿宋" w:eastAsia="仿宋"/>
          <w:sz w:val="28"/>
          <w:szCs w:val="28"/>
        </w:rPr>
        <w:t>对标习近平总书记考察上海重要讲话精神，与党的十九届四中全会精神；开展“不忘初心、牢记使命”主题教育学深悟透、学以促行。把思想和行动统一到总书记重要讲话精神上来，学习要再深入，差距再审视，重点再聚焦，落实再细化，将之转化为推动学校学院和上海发展的强大动力。开展全方位大调研，班子成员分别围绕学校学院工作，主动深入师生通过通过访谈走访法分别召开了支部书记、辅导员、系室主任和教授代表、研究生代表、本科生代表等全方位座谈会和访谈等形式，了解师生急需解决问题16项。</w:t>
      </w:r>
      <w:r>
        <w:rPr>
          <w:rFonts w:hint="eastAsia" w:ascii="黑体" w:hAnsi="黑体" w:eastAsia="黑体"/>
          <w:bCs/>
          <w:sz w:val="28"/>
          <w:szCs w:val="28"/>
        </w:rPr>
        <w:t>二是</w:t>
      </w:r>
      <w:r>
        <w:rPr>
          <w:rFonts w:hint="eastAsia" w:ascii="仿宋" w:hAnsi="仿宋" w:eastAsia="仿宋"/>
          <w:sz w:val="28"/>
          <w:szCs w:val="28"/>
        </w:rPr>
        <w:t>对标新时代要求和顶尖水平，走访浙江理工等大学，走访日本千叶大学等地，调研再调研，走访老领导和老干部，相关高校和龙头企业等，寻找差距、汲取动力。</w:t>
      </w:r>
      <w:r>
        <w:rPr>
          <w:rFonts w:hint="eastAsia" w:ascii="黑体" w:hAnsi="黑体" w:eastAsia="黑体"/>
          <w:bCs/>
          <w:sz w:val="28"/>
          <w:szCs w:val="28"/>
        </w:rPr>
        <w:t>三是</w:t>
      </w:r>
      <w:r>
        <w:rPr>
          <w:rFonts w:hint="eastAsia" w:ascii="仿宋" w:hAnsi="仿宋" w:eastAsia="仿宋"/>
          <w:sz w:val="28"/>
          <w:szCs w:val="28"/>
        </w:rPr>
        <w:t>重点聚焦，充分发挥党员开路先锋、示范引领和突破攻坚作用，围绕学校学院发展战略，突出问题导向，实施党员挂牌上岗、党员一人一事一例先进典型，全体党员参与，发挥党支部作用，特别是博士工作站党支部，积极做好调研“后半篇文章”，在实地调研的基础上，及时汇总梳理调研发现的问题</w:t>
      </w:r>
      <w:r>
        <w:rPr>
          <w:rFonts w:hint="eastAsia" w:ascii="仿宋" w:hAnsi="仿宋" w:eastAsia="仿宋" w:cs="仿宋"/>
          <w:sz w:val="30"/>
          <w:szCs w:val="30"/>
        </w:rPr>
        <w:t>、听到的意见，作出综合研判，切实分析透彻问题症结，提出解决问题、改进工作的思路举措，</w:t>
      </w:r>
      <w:r>
        <w:rPr>
          <w:rFonts w:hint="eastAsia" w:ascii="仿宋" w:hAnsi="仿宋" w:eastAsia="仿宋"/>
          <w:sz w:val="28"/>
          <w:szCs w:val="28"/>
        </w:rPr>
        <w:t>围绕学院党委中心工作等方面重点解决十个方面问题。</w:t>
      </w:r>
    </w:p>
    <w:p>
      <w:pPr>
        <w:tabs>
          <w:tab w:val="left" w:pos="2100"/>
        </w:tabs>
        <w:spacing w:line="480" w:lineRule="exact"/>
        <w:rPr>
          <w:rFonts w:ascii="仿宋" w:hAnsi="仿宋" w:eastAsia="仿宋" w:cs="仿宋"/>
          <w:sz w:val="30"/>
          <w:szCs w:val="30"/>
        </w:rPr>
      </w:pPr>
    </w:p>
    <w:p>
      <w:pPr>
        <w:spacing w:line="600" w:lineRule="atLeast"/>
        <w:ind w:firstLine="600" w:firstLineChars="200"/>
        <w:rPr>
          <w:rFonts w:ascii="Times New Roman" w:hAnsi="Times New Roman" w:eastAsia="仿宋" w:cs="Times New Roman"/>
          <w:bCs/>
          <w:color w:val="000000" w:themeColor="text1"/>
          <w:sz w:val="30"/>
          <w:szCs w:val="30"/>
        </w:rPr>
      </w:pPr>
      <w:r>
        <w:rPr>
          <w:rFonts w:hint="eastAsia" w:ascii="Times New Roman" w:hAnsi="Times New Roman" w:eastAsia="仿宋" w:cs="Times New Roman"/>
          <w:bCs/>
          <w:color w:val="000000" w:themeColor="text1"/>
          <w:sz w:val="30"/>
          <w:szCs w:val="30"/>
        </w:rPr>
        <w:t>3.检视问题方面</w:t>
      </w:r>
    </w:p>
    <w:p>
      <w:pPr>
        <w:tabs>
          <w:tab w:val="left" w:pos="2100"/>
        </w:tabs>
        <w:spacing w:line="480" w:lineRule="exact"/>
        <w:ind w:firstLine="602" w:firstLineChars="200"/>
        <w:rPr>
          <w:rFonts w:ascii="仿宋" w:hAnsi="仿宋" w:eastAsia="仿宋" w:cs="仿宋"/>
          <w:sz w:val="30"/>
          <w:szCs w:val="30"/>
        </w:rPr>
      </w:pPr>
      <w:r>
        <w:rPr>
          <w:rFonts w:hint="eastAsia" w:ascii="仿宋" w:hAnsi="仿宋" w:eastAsia="仿宋" w:cs="仿宋"/>
          <w:b/>
          <w:bCs/>
          <w:sz w:val="30"/>
          <w:szCs w:val="30"/>
        </w:rPr>
        <w:t>以深入检视问题为契机。</w:t>
      </w:r>
      <w:r>
        <w:rPr>
          <w:rFonts w:hint="eastAsia" w:ascii="仿宋" w:hAnsi="仿宋" w:eastAsia="仿宋" w:cs="仿宋"/>
          <w:sz w:val="30"/>
          <w:szCs w:val="30"/>
        </w:rPr>
        <w:t>坚持从主题教育一开始就要抓好检视问题，聚焦思想、政治、能力、作风和廉政方面存在的突出问题进行检视。按照习近平总书记关于“四个对照”的要求，对在学习研讨中查摆的问题、对照党章党规找出的问题、调研发现的问题、群众反映的问题、对照党章党规找出的问题等，进行系统梳理，全部建立了问题整改台账。召开班子成员检视问题专题分析会，班子成员畅所欲言，共同查找问题18项。组织班子成员结合各自工作实际和前期学习教育、调查研究发现问题深入开展个人检视问题，形成检视问题材料10篇，有针对性的进行了梳理汇总，为下步整改奠定了坚实的基础。在学习调研基础上，共10名班子成员讲专题党课，主要领导同志带头讲，其他班子成员到分管领域讲。学院党委召开党政领导班子对照党章找差距交流会，对照“18个是否”的问题，突出针对性，紧密结合学习和调研成果，将存在的差距和不足，讲指导实践、推动改进工作的思路措施，讲悟初心、担使命的感悟，推进了主题教育深入开展。</w:t>
      </w:r>
    </w:p>
    <w:p>
      <w:pPr>
        <w:tabs>
          <w:tab w:val="left" w:pos="2100"/>
        </w:tabs>
        <w:spacing w:line="480" w:lineRule="exact"/>
        <w:ind w:firstLine="600" w:firstLineChars="200"/>
        <w:rPr>
          <w:rFonts w:ascii="仿宋" w:hAnsi="仿宋" w:eastAsia="仿宋" w:cs="仿宋"/>
          <w:sz w:val="30"/>
          <w:szCs w:val="30"/>
        </w:rPr>
      </w:pPr>
    </w:p>
    <w:p>
      <w:pPr>
        <w:spacing w:line="600" w:lineRule="atLeast"/>
        <w:ind w:firstLine="602" w:firstLineChars="200"/>
        <w:rPr>
          <w:rFonts w:ascii="Times New Roman" w:hAnsi="Times New Roman" w:eastAsia="仿宋" w:cs="Times New Roman"/>
          <w:b/>
          <w:bCs/>
          <w:color w:val="000000" w:themeColor="text1"/>
          <w:sz w:val="30"/>
          <w:szCs w:val="30"/>
        </w:rPr>
      </w:pPr>
      <w:r>
        <w:rPr>
          <w:rFonts w:hint="eastAsia" w:ascii="Times New Roman" w:hAnsi="Times New Roman" w:eastAsia="仿宋" w:cs="Times New Roman"/>
          <w:b/>
          <w:bCs/>
          <w:color w:val="000000" w:themeColor="text1"/>
          <w:sz w:val="30"/>
          <w:szCs w:val="30"/>
        </w:rPr>
        <w:t>4.整改落实方面</w:t>
      </w:r>
    </w:p>
    <w:p>
      <w:pPr>
        <w:tabs>
          <w:tab w:val="left" w:pos="2100"/>
        </w:tabs>
        <w:spacing w:line="480" w:lineRule="exact"/>
        <w:ind w:firstLine="602" w:firstLineChars="200"/>
        <w:rPr>
          <w:rFonts w:ascii="仿宋" w:hAnsi="仿宋" w:eastAsia="仿宋" w:cs="仿宋"/>
          <w:sz w:val="30"/>
          <w:szCs w:val="30"/>
        </w:rPr>
      </w:pPr>
      <w:r>
        <w:rPr>
          <w:rFonts w:hint="eastAsia" w:ascii="仿宋" w:hAnsi="仿宋" w:eastAsia="仿宋" w:cs="仿宋"/>
          <w:b/>
          <w:bCs/>
          <w:sz w:val="30"/>
          <w:szCs w:val="30"/>
        </w:rPr>
        <w:t>以狠抓整改落实为驱动。</w:t>
      </w:r>
      <w:r>
        <w:rPr>
          <w:rFonts w:hint="eastAsia" w:ascii="仿宋" w:hAnsi="仿宋" w:eastAsia="仿宋" w:cs="仿宋"/>
          <w:sz w:val="30"/>
          <w:szCs w:val="30"/>
        </w:rPr>
        <w:t>认真按照上海市委和学校党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通过深入查摆问题以及对16个问题的整改，确保问题整改全部落实落地。</w:t>
      </w:r>
    </w:p>
    <w:p>
      <w:pPr>
        <w:tabs>
          <w:tab w:val="left" w:pos="2100"/>
        </w:tabs>
        <w:spacing w:line="480" w:lineRule="exact"/>
        <w:ind w:firstLine="602" w:firstLineChars="200"/>
        <w:rPr>
          <w:rFonts w:ascii="仿宋" w:hAnsi="仿宋" w:eastAsia="仿宋" w:cs="仿宋"/>
          <w:sz w:val="30"/>
          <w:szCs w:val="30"/>
        </w:rPr>
      </w:pPr>
      <w:r>
        <w:rPr>
          <w:rFonts w:hint="eastAsia" w:ascii="仿宋" w:hAnsi="仿宋" w:eastAsia="仿宋" w:cs="仿宋"/>
          <w:b/>
          <w:sz w:val="30"/>
          <w:szCs w:val="30"/>
        </w:rPr>
        <w:t>（1）整改问题一：</w:t>
      </w:r>
      <w:r>
        <w:rPr>
          <w:rFonts w:hint="eastAsia" w:ascii="仿宋" w:hAnsi="仿宋" w:eastAsia="仿宋" w:cs="仿宋"/>
          <w:sz w:val="30"/>
          <w:szCs w:val="30"/>
        </w:rPr>
        <w:t>贯彻落实习近平总书记在上海讲话精神、对照习近平新时代中国特色社会主义思想贯彻落实，在围绕国家战略和上海发展的中心工作方面开展力度不足。</w:t>
      </w:r>
    </w:p>
    <w:p>
      <w:pPr>
        <w:tabs>
          <w:tab w:val="left" w:pos="2100"/>
        </w:tabs>
        <w:spacing w:line="480" w:lineRule="exact"/>
        <w:ind w:firstLine="602" w:firstLineChars="200"/>
        <w:rPr>
          <w:rFonts w:ascii="仿宋" w:hAnsi="仿宋" w:eastAsia="仿宋" w:cs="仿宋"/>
          <w:sz w:val="30"/>
          <w:szCs w:val="30"/>
        </w:rPr>
      </w:pPr>
      <w:r>
        <w:rPr>
          <w:rFonts w:hint="eastAsia" w:ascii="仿宋" w:hAnsi="仿宋" w:eastAsia="仿宋" w:cs="仿宋"/>
          <w:b/>
          <w:sz w:val="30"/>
          <w:szCs w:val="30"/>
        </w:rPr>
        <w:t>整改举措：</w:t>
      </w:r>
      <w:r>
        <w:rPr>
          <w:rFonts w:hint="eastAsia" w:ascii="仿宋" w:hAnsi="仿宋" w:eastAsia="仿宋" w:cs="仿宋"/>
          <w:sz w:val="30"/>
          <w:szCs w:val="30"/>
        </w:rPr>
        <w:t xml:space="preserve">围绕中心工作，用好国家艺术基金、上海市四类高峰资源、博士工作站党支部作用，助力第二届进博会，拓展安徽蚌埠等地艺术教育联动，加强长江三角洲一体化建设。 </w:t>
      </w:r>
    </w:p>
    <w:p>
      <w:pPr>
        <w:tabs>
          <w:tab w:val="left" w:pos="2100"/>
        </w:tabs>
        <w:spacing w:line="480" w:lineRule="exact"/>
        <w:ind w:firstLine="602" w:firstLineChars="200"/>
        <w:rPr>
          <w:rFonts w:ascii="仿宋" w:hAnsi="仿宋" w:eastAsia="仿宋" w:cs="仿宋"/>
          <w:sz w:val="30"/>
          <w:szCs w:val="30"/>
        </w:rPr>
      </w:pPr>
      <w:r>
        <w:rPr>
          <w:rFonts w:hint="eastAsia" w:ascii="仿宋" w:hAnsi="仿宋" w:eastAsia="仿宋" w:cs="仿宋"/>
          <w:b/>
          <w:sz w:val="30"/>
          <w:szCs w:val="30"/>
        </w:rPr>
        <w:t>成果形式：</w:t>
      </w:r>
      <w:r>
        <w:rPr>
          <w:rFonts w:hint="eastAsia" w:ascii="仿宋" w:hAnsi="仿宋" w:eastAsia="仿宋" w:cs="仿宋"/>
          <w:sz w:val="30"/>
          <w:szCs w:val="30"/>
        </w:rPr>
        <w:t xml:space="preserve">与东浩兰生公司合作在进博会成立高瞩大师工作室；大手牵小手联合同济大学在安徽、崇明等地建设长三角艺术教育基地和未来乡村。 </w:t>
      </w:r>
    </w:p>
    <w:p>
      <w:pPr>
        <w:tabs>
          <w:tab w:val="left" w:pos="2100"/>
        </w:tabs>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b/>
          <w:sz w:val="30"/>
          <w:szCs w:val="30"/>
        </w:rPr>
        <w:t>整改问题二：</w:t>
      </w:r>
      <w:r>
        <w:rPr>
          <w:rFonts w:hint="eastAsia" w:ascii="仿宋" w:hAnsi="仿宋" w:eastAsia="仿宋" w:cs="仿宋"/>
          <w:sz w:val="30"/>
          <w:szCs w:val="30"/>
        </w:rPr>
        <w:t>对标习总书记的讲话精神逐一对照、寻找差距、汲取动力，该完善的要完善、该拓展的要拓展、该优化的要优化，使各项工作更精准、更到位、更富成效。</w:t>
      </w:r>
    </w:p>
    <w:p>
      <w:pPr>
        <w:tabs>
          <w:tab w:val="left" w:pos="2100"/>
        </w:tabs>
        <w:spacing w:line="480" w:lineRule="exact"/>
        <w:ind w:firstLine="602" w:firstLineChars="200"/>
        <w:rPr>
          <w:rFonts w:hint="eastAsia" w:ascii="仿宋" w:hAnsi="仿宋" w:eastAsia="仿宋" w:cs="仿宋"/>
          <w:sz w:val="30"/>
          <w:szCs w:val="30"/>
        </w:rPr>
      </w:pPr>
      <w:r>
        <w:rPr>
          <w:rFonts w:hint="eastAsia" w:ascii="仿宋" w:hAnsi="仿宋" w:eastAsia="仿宋" w:cs="仿宋"/>
          <w:b/>
          <w:sz w:val="30"/>
          <w:szCs w:val="30"/>
        </w:rPr>
        <w:t>整改举措：一是</w:t>
      </w:r>
      <w:r>
        <w:rPr>
          <w:rFonts w:hint="eastAsia" w:ascii="仿宋" w:hAnsi="仿宋" w:eastAsia="仿宋" w:cs="仿宋"/>
          <w:sz w:val="30"/>
          <w:szCs w:val="30"/>
        </w:rPr>
        <w:t>形成制度《艺术设计学院党委会议制度》、《艺术设计学院党政联席会议制度和议事规则》、《艺术设计学院党委党风廉政建设责任制度》、《艺术设计学院党委中心组（扩大）学习制度》、《艺术设计学院党委青年教师制度》、《艺术设计学院党委干部培训制度》、《艺术设计学院优化绩效考核和分配制度》等制度。</w:t>
      </w:r>
    </w:p>
    <w:p>
      <w:pPr>
        <w:tabs>
          <w:tab w:val="left" w:pos="2100"/>
        </w:tabs>
        <w:spacing w:line="480" w:lineRule="exact"/>
        <w:ind w:firstLine="602" w:firstLineChars="200"/>
        <w:rPr>
          <w:rFonts w:hint="eastAsia" w:ascii="仿宋" w:hAnsi="仿宋" w:eastAsia="仿宋" w:cs="仿宋"/>
          <w:sz w:val="30"/>
          <w:szCs w:val="30"/>
        </w:rPr>
      </w:pPr>
      <w:r>
        <w:rPr>
          <w:rFonts w:hint="eastAsia" w:ascii="仿宋" w:hAnsi="仿宋" w:eastAsia="仿宋" w:cs="仿宋"/>
          <w:b/>
          <w:sz w:val="30"/>
          <w:szCs w:val="30"/>
        </w:rPr>
        <w:drawing>
          <wp:anchor distT="0" distB="0" distL="114300" distR="114300" simplePos="0" relativeHeight="251658240" behindDoc="0" locked="0" layoutInCell="1" allowOverlap="1">
            <wp:simplePos x="0" y="0"/>
            <wp:positionH relativeFrom="column">
              <wp:posOffset>-76200</wp:posOffset>
            </wp:positionH>
            <wp:positionV relativeFrom="paragraph">
              <wp:posOffset>2482850</wp:posOffset>
            </wp:positionV>
            <wp:extent cx="3130550" cy="2787650"/>
            <wp:effectExtent l="0" t="0" r="0" b="0"/>
            <wp:wrapSquare wrapText="bothSides"/>
            <wp:docPr id="2" name="对象 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3689985" cy="3695065"/>
                      <a:chOff x="3761652" y="2571233"/>
                      <a:chExt cx="3689985" cy="3695065"/>
                    </a:xfrm>
                  </a:grpSpPr>
                  <a:sp>
                    <a:nvSpPr>
                      <a:cNvPr id="2" name="MH_Other_1"/>
                      <a:cNvSpPr/>
                    </a:nvSpPr>
                    <a:spPr>
                      <a:xfrm>
                        <a:off x="5715547" y="2571233"/>
                        <a:ext cx="1036320" cy="1099185"/>
                      </a:xfrm>
                      <a:prstGeom prst="ellipse">
                        <a:avLst/>
                      </a:prstGeom>
                      <a:solidFill>
                        <a:srgbClr val="C00000"/>
                      </a:solidFill>
                      <a:ln w="3175" cmpd="sng">
                        <a:noFill/>
                      </a:ln>
                      <a:effectLst/>
                    </a:spPr>
                    <a:txSp>
                      <a:txBody>
                        <a:bodyPr anchor="ctr"/>
                        <a:lstStyle>
                          <a:defPPr>
                            <a:defRPr lang="zh-CN"/>
                          </a:defPPr>
                          <a:lvl1pPr marL="0" algn="l" defTabSz="1219200" rtl="0" eaLnBrk="1" latinLnBrk="0" hangingPunct="1">
                            <a:defRPr sz="2400" kern="1200">
                              <a:solidFill>
                                <a:schemeClr val="lt1"/>
                              </a:solidFill>
                              <a:latin typeface="+mn-lt"/>
                              <a:ea typeface="+mn-ea"/>
                              <a:cs typeface="+mn-cs"/>
                            </a:defRPr>
                          </a:lvl1pPr>
                          <a:lvl2pPr marL="609600" algn="l" defTabSz="1219200" rtl="0" eaLnBrk="1" latinLnBrk="0" hangingPunct="1">
                            <a:defRPr sz="2400" kern="1200">
                              <a:solidFill>
                                <a:schemeClr val="lt1"/>
                              </a:solidFill>
                              <a:latin typeface="+mn-lt"/>
                              <a:ea typeface="+mn-ea"/>
                              <a:cs typeface="+mn-cs"/>
                            </a:defRPr>
                          </a:lvl2pPr>
                          <a:lvl3pPr marL="1219200" algn="l" defTabSz="1219200" rtl="0" eaLnBrk="1" latinLnBrk="0" hangingPunct="1">
                            <a:defRPr sz="2400" kern="1200">
                              <a:solidFill>
                                <a:schemeClr val="lt1"/>
                              </a:solidFill>
                              <a:latin typeface="+mn-lt"/>
                              <a:ea typeface="+mn-ea"/>
                              <a:cs typeface="+mn-cs"/>
                            </a:defRPr>
                          </a:lvl3pPr>
                          <a:lvl4pPr marL="1828165" algn="l" defTabSz="1219200" rtl="0" eaLnBrk="1" latinLnBrk="0" hangingPunct="1">
                            <a:defRPr sz="2400" kern="1200">
                              <a:solidFill>
                                <a:schemeClr val="lt1"/>
                              </a:solidFill>
                              <a:latin typeface="+mn-lt"/>
                              <a:ea typeface="+mn-ea"/>
                              <a:cs typeface="+mn-cs"/>
                            </a:defRPr>
                          </a:lvl4pPr>
                          <a:lvl5pPr marL="2437765" algn="l" defTabSz="1219200" rtl="0" eaLnBrk="1" latinLnBrk="0" hangingPunct="1">
                            <a:defRPr sz="2400" kern="1200">
                              <a:solidFill>
                                <a:schemeClr val="lt1"/>
                              </a:solidFill>
                              <a:latin typeface="+mn-lt"/>
                              <a:ea typeface="+mn-ea"/>
                              <a:cs typeface="+mn-cs"/>
                            </a:defRPr>
                          </a:lvl5pPr>
                          <a:lvl6pPr marL="3047365" algn="l" defTabSz="1219200" rtl="0" eaLnBrk="1" latinLnBrk="0" hangingPunct="1">
                            <a:defRPr sz="2400" kern="1200">
                              <a:solidFill>
                                <a:schemeClr val="lt1"/>
                              </a:solidFill>
                              <a:latin typeface="+mn-lt"/>
                              <a:ea typeface="+mn-ea"/>
                              <a:cs typeface="+mn-cs"/>
                            </a:defRPr>
                          </a:lvl6pPr>
                          <a:lvl7pPr marL="3656965" algn="l" defTabSz="1219200" rtl="0" eaLnBrk="1" latinLnBrk="0" hangingPunct="1">
                            <a:defRPr sz="2400" kern="1200">
                              <a:solidFill>
                                <a:schemeClr val="lt1"/>
                              </a:solidFill>
                              <a:latin typeface="+mn-lt"/>
                              <a:ea typeface="+mn-ea"/>
                              <a:cs typeface="+mn-cs"/>
                            </a:defRPr>
                          </a:lvl7pPr>
                          <a:lvl8pPr marL="4266565" algn="l" defTabSz="1219200" rtl="0" eaLnBrk="1" latinLnBrk="0" hangingPunct="1">
                            <a:defRPr sz="2400" kern="1200">
                              <a:solidFill>
                                <a:schemeClr val="lt1"/>
                              </a:solidFill>
                              <a:latin typeface="+mn-lt"/>
                              <a:ea typeface="+mn-ea"/>
                              <a:cs typeface="+mn-cs"/>
                            </a:defRPr>
                          </a:lvl8pPr>
                          <a:lvl9pPr marL="4875530" algn="l" defTabSz="1219200" rtl="0" eaLnBrk="1" latinLnBrk="0" hangingPunct="1">
                            <a:defRPr sz="2400" kern="1200">
                              <a:solidFill>
                                <a:schemeClr val="lt1"/>
                              </a:solidFill>
                              <a:latin typeface="+mn-lt"/>
                              <a:ea typeface="+mn-ea"/>
                              <a:cs typeface="+mn-cs"/>
                            </a:defRPr>
                          </a:lvl9pPr>
                        </a:lstStyle>
                        <a:p>
                          <a:pPr algn="ctr"/>
                          <a:r>
                            <a:rPr lang="zh-CN" altLang="en-US" sz="1800" b="1" dirty="0" smtClean="0">
                              <a:solidFill>
                                <a:srgbClr val="FFFAF0"/>
                              </a:solidFill>
                              <a:latin typeface="微软雅黑" panose="020B0503020204020204" pitchFamily="2" charset="-122"/>
                              <a:ea typeface="微软雅黑" panose="020B0503020204020204" pitchFamily="2" charset="-122"/>
                            </a:rPr>
                            <a:t>红色</a:t>
                          </a:r>
                          <a:endParaRPr lang="zh-CN" altLang="en-US" sz="1800" b="1" dirty="0" smtClean="0">
                            <a:solidFill>
                              <a:srgbClr val="FFFAF0"/>
                            </a:solidFill>
                            <a:latin typeface="微软雅黑" panose="020B0503020204020204" pitchFamily="2" charset="-122"/>
                            <a:ea typeface="微软雅黑" panose="020B0503020204020204" pitchFamily="2" charset="-122"/>
                          </a:endParaRPr>
                        </a:p>
                        <a:p>
                          <a:pPr algn="ctr"/>
                          <a:r>
                            <a:rPr lang="zh-CN" altLang="en-US" sz="1800" b="1" dirty="0" smtClean="0">
                              <a:solidFill>
                                <a:srgbClr val="FFFAF0"/>
                              </a:solidFill>
                              <a:latin typeface="微软雅黑" panose="020B0503020204020204" pitchFamily="2" charset="-122"/>
                              <a:ea typeface="微软雅黑" panose="020B0503020204020204" pitchFamily="2" charset="-122"/>
                            </a:rPr>
                            <a:t>海派艺术</a:t>
                          </a:r>
                          <a:endParaRPr lang="zh-CN" altLang="en-US" sz="1800" b="1" dirty="0" smtClean="0">
                            <a:solidFill>
                              <a:srgbClr val="FFFAF0"/>
                            </a:solidFill>
                            <a:latin typeface="微软雅黑" panose="020B0503020204020204" pitchFamily="2" charset="-122"/>
                            <a:ea typeface="微软雅黑" panose="020B0503020204020204" pitchFamily="2"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MH_Other_4"/>
                      <a:cNvSpPr/>
                    </a:nvSpPr>
                    <a:spPr>
                      <a:xfrm>
                        <a:off x="6008706" y="3207350"/>
                        <a:ext cx="392113" cy="392112"/>
                      </a:xfrm>
                      <a:prstGeom prst="ellipse">
                        <a:avLst/>
                      </a:prstGeom>
                      <a:noFill/>
                      <a:ln w="38100" cmpd="sng">
                        <a:solidFill>
                          <a:srgbClr val="C00000">
                            <a:alpha val="25000"/>
                          </a:srgbClr>
                        </a:solidFill>
                      </a:ln>
                      <a:effectLst/>
                    </a:spPr>
                    <a:txSp>
                      <a:txBody>
                        <a:bodyPr anchor="ctr"/>
                        <a:lstStyle>
                          <a:defPPr>
                            <a:defRPr lang="zh-CN"/>
                          </a:defPPr>
                          <a:lvl1pPr marL="0" algn="l" defTabSz="1219200" rtl="0" eaLnBrk="1" latinLnBrk="0" hangingPunct="1">
                            <a:defRPr sz="2400" kern="1200">
                              <a:solidFill>
                                <a:schemeClr val="lt1"/>
                              </a:solidFill>
                              <a:latin typeface="+mn-lt"/>
                              <a:ea typeface="+mn-ea"/>
                              <a:cs typeface="+mn-cs"/>
                            </a:defRPr>
                          </a:lvl1pPr>
                          <a:lvl2pPr marL="609600" algn="l" defTabSz="1219200" rtl="0" eaLnBrk="1" latinLnBrk="0" hangingPunct="1">
                            <a:defRPr sz="2400" kern="1200">
                              <a:solidFill>
                                <a:schemeClr val="lt1"/>
                              </a:solidFill>
                              <a:latin typeface="+mn-lt"/>
                              <a:ea typeface="+mn-ea"/>
                              <a:cs typeface="+mn-cs"/>
                            </a:defRPr>
                          </a:lvl2pPr>
                          <a:lvl3pPr marL="1219200" algn="l" defTabSz="1219200" rtl="0" eaLnBrk="1" latinLnBrk="0" hangingPunct="1">
                            <a:defRPr sz="2400" kern="1200">
                              <a:solidFill>
                                <a:schemeClr val="lt1"/>
                              </a:solidFill>
                              <a:latin typeface="+mn-lt"/>
                              <a:ea typeface="+mn-ea"/>
                              <a:cs typeface="+mn-cs"/>
                            </a:defRPr>
                          </a:lvl3pPr>
                          <a:lvl4pPr marL="1828165" algn="l" defTabSz="1219200" rtl="0" eaLnBrk="1" latinLnBrk="0" hangingPunct="1">
                            <a:defRPr sz="2400" kern="1200">
                              <a:solidFill>
                                <a:schemeClr val="lt1"/>
                              </a:solidFill>
                              <a:latin typeface="+mn-lt"/>
                              <a:ea typeface="+mn-ea"/>
                              <a:cs typeface="+mn-cs"/>
                            </a:defRPr>
                          </a:lvl4pPr>
                          <a:lvl5pPr marL="2437765" algn="l" defTabSz="1219200" rtl="0" eaLnBrk="1" latinLnBrk="0" hangingPunct="1">
                            <a:defRPr sz="2400" kern="1200">
                              <a:solidFill>
                                <a:schemeClr val="lt1"/>
                              </a:solidFill>
                              <a:latin typeface="+mn-lt"/>
                              <a:ea typeface="+mn-ea"/>
                              <a:cs typeface="+mn-cs"/>
                            </a:defRPr>
                          </a:lvl5pPr>
                          <a:lvl6pPr marL="3047365" algn="l" defTabSz="1219200" rtl="0" eaLnBrk="1" latinLnBrk="0" hangingPunct="1">
                            <a:defRPr sz="2400" kern="1200">
                              <a:solidFill>
                                <a:schemeClr val="lt1"/>
                              </a:solidFill>
                              <a:latin typeface="+mn-lt"/>
                              <a:ea typeface="+mn-ea"/>
                              <a:cs typeface="+mn-cs"/>
                            </a:defRPr>
                          </a:lvl6pPr>
                          <a:lvl7pPr marL="3656965" algn="l" defTabSz="1219200" rtl="0" eaLnBrk="1" latinLnBrk="0" hangingPunct="1">
                            <a:defRPr sz="2400" kern="1200">
                              <a:solidFill>
                                <a:schemeClr val="lt1"/>
                              </a:solidFill>
                              <a:latin typeface="+mn-lt"/>
                              <a:ea typeface="+mn-ea"/>
                              <a:cs typeface="+mn-cs"/>
                            </a:defRPr>
                          </a:lvl7pPr>
                          <a:lvl8pPr marL="4266565" algn="l" defTabSz="1219200" rtl="0" eaLnBrk="1" latinLnBrk="0" hangingPunct="1">
                            <a:defRPr sz="2400" kern="1200">
                              <a:solidFill>
                                <a:schemeClr val="lt1"/>
                              </a:solidFill>
                              <a:latin typeface="+mn-lt"/>
                              <a:ea typeface="+mn-ea"/>
                              <a:cs typeface="+mn-cs"/>
                            </a:defRPr>
                          </a:lvl8pPr>
                          <a:lvl9pPr marL="4875530" algn="l" defTabSz="1219200" rtl="0" eaLnBrk="1" latinLnBrk="0" hangingPunct="1">
                            <a:defRPr sz="2400" kern="1200">
                              <a:solidFill>
                                <a:schemeClr val="lt1"/>
                              </a:solidFill>
                              <a:latin typeface="+mn-lt"/>
                              <a:ea typeface="+mn-ea"/>
                              <a:cs typeface="+mn-cs"/>
                            </a:defRPr>
                          </a:lvl9pPr>
                        </a:lstStyle>
                        <a:p>
                          <a:pPr algn="ctr"/>
                          <a:endParaRPr lang="zh-CN" altLang="en-US" sz="180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MH_Other_5"/>
                      <a:cNvSpPr/>
                    </a:nvSpPr>
                    <a:spPr>
                      <a:xfrm>
                        <a:off x="6344938" y="4559900"/>
                        <a:ext cx="279400" cy="279400"/>
                      </a:xfrm>
                      <a:prstGeom prst="ellipse">
                        <a:avLst/>
                      </a:prstGeom>
                      <a:noFill/>
                      <a:ln w="38100" cmpd="sng">
                        <a:solidFill>
                          <a:srgbClr val="C00000">
                            <a:alpha val="75000"/>
                          </a:srgbClr>
                        </a:solidFill>
                      </a:ln>
                      <a:effectLst/>
                    </a:spPr>
                    <a:txSp>
                      <a:txBody>
                        <a:bodyPr anchor="ctr"/>
                        <a:lstStyle>
                          <a:defPPr>
                            <a:defRPr lang="zh-CN"/>
                          </a:defPPr>
                          <a:lvl1pPr marL="0" algn="l" defTabSz="1219200" rtl="0" eaLnBrk="1" latinLnBrk="0" hangingPunct="1">
                            <a:defRPr sz="2400" kern="1200">
                              <a:solidFill>
                                <a:schemeClr val="lt1"/>
                              </a:solidFill>
                              <a:latin typeface="+mn-lt"/>
                              <a:ea typeface="+mn-ea"/>
                              <a:cs typeface="+mn-cs"/>
                            </a:defRPr>
                          </a:lvl1pPr>
                          <a:lvl2pPr marL="609600" algn="l" defTabSz="1219200" rtl="0" eaLnBrk="1" latinLnBrk="0" hangingPunct="1">
                            <a:defRPr sz="2400" kern="1200">
                              <a:solidFill>
                                <a:schemeClr val="lt1"/>
                              </a:solidFill>
                              <a:latin typeface="+mn-lt"/>
                              <a:ea typeface="+mn-ea"/>
                              <a:cs typeface="+mn-cs"/>
                            </a:defRPr>
                          </a:lvl2pPr>
                          <a:lvl3pPr marL="1219200" algn="l" defTabSz="1219200" rtl="0" eaLnBrk="1" latinLnBrk="0" hangingPunct="1">
                            <a:defRPr sz="2400" kern="1200">
                              <a:solidFill>
                                <a:schemeClr val="lt1"/>
                              </a:solidFill>
                              <a:latin typeface="+mn-lt"/>
                              <a:ea typeface="+mn-ea"/>
                              <a:cs typeface="+mn-cs"/>
                            </a:defRPr>
                          </a:lvl3pPr>
                          <a:lvl4pPr marL="1828165" algn="l" defTabSz="1219200" rtl="0" eaLnBrk="1" latinLnBrk="0" hangingPunct="1">
                            <a:defRPr sz="2400" kern="1200">
                              <a:solidFill>
                                <a:schemeClr val="lt1"/>
                              </a:solidFill>
                              <a:latin typeface="+mn-lt"/>
                              <a:ea typeface="+mn-ea"/>
                              <a:cs typeface="+mn-cs"/>
                            </a:defRPr>
                          </a:lvl4pPr>
                          <a:lvl5pPr marL="2437765" algn="l" defTabSz="1219200" rtl="0" eaLnBrk="1" latinLnBrk="0" hangingPunct="1">
                            <a:defRPr sz="2400" kern="1200">
                              <a:solidFill>
                                <a:schemeClr val="lt1"/>
                              </a:solidFill>
                              <a:latin typeface="+mn-lt"/>
                              <a:ea typeface="+mn-ea"/>
                              <a:cs typeface="+mn-cs"/>
                            </a:defRPr>
                          </a:lvl5pPr>
                          <a:lvl6pPr marL="3047365" algn="l" defTabSz="1219200" rtl="0" eaLnBrk="1" latinLnBrk="0" hangingPunct="1">
                            <a:defRPr sz="2400" kern="1200">
                              <a:solidFill>
                                <a:schemeClr val="lt1"/>
                              </a:solidFill>
                              <a:latin typeface="+mn-lt"/>
                              <a:ea typeface="+mn-ea"/>
                              <a:cs typeface="+mn-cs"/>
                            </a:defRPr>
                          </a:lvl6pPr>
                          <a:lvl7pPr marL="3656965" algn="l" defTabSz="1219200" rtl="0" eaLnBrk="1" latinLnBrk="0" hangingPunct="1">
                            <a:defRPr sz="2400" kern="1200">
                              <a:solidFill>
                                <a:schemeClr val="lt1"/>
                              </a:solidFill>
                              <a:latin typeface="+mn-lt"/>
                              <a:ea typeface="+mn-ea"/>
                              <a:cs typeface="+mn-cs"/>
                            </a:defRPr>
                          </a:lvl7pPr>
                          <a:lvl8pPr marL="4266565" algn="l" defTabSz="1219200" rtl="0" eaLnBrk="1" latinLnBrk="0" hangingPunct="1">
                            <a:defRPr sz="2400" kern="1200">
                              <a:solidFill>
                                <a:schemeClr val="lt1"/>
                              </a:solidFill>
                              <a:latin typeface="+mn-lt"/>
                              <a:ea typeface="+mn-ea"/>
                              <a:cs typeface="+mn-cs"/>
                            </a:defRPr>
                          </a:lvl8pPr>
                          <a:lvl9pPr marL="4875530" algn="l" defTabSz="1219200" rtl="0" eaLnBrk="1" latinLnBrk="0" hangingPunct="1">
                            <a:defRPr sz="2400" kern="1200">
                              <a:solidFill>
                                <a:schemeClr val="lt1"/>
                              </a:solidFill>
                              <a:latin typeface="+mn-lt"/>
                              <a:ea typeface="+mn-ea"/>
                              <a:cs typeface="+mn-cs"/>
                            </a:defRPr>
                          </a:lvl9pPr>
                        </a:lstStyle>
                        <a:p>
                          <a:pPr algn="ctr"/>
                          <a:endParaRPr lang="zh-CN" altLang="en-US" sz="180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MH_Other_6"/>
                      <a:cNvSpPr/>
                    </a:nvSpPr>
                    <a:spPr>
                      <a:xfrm>
                        <a:off x="5441016" y="5753066"/>
                        <a:ext cx="250825" cy="250825"/>
                      </a:xfrm>
                      <a:prstGeom prst="ellipse">
                        <a:avLst/>
                      </a:prstGeom>
                      <a:noFill/>
                      <a:ln w="38100" cmpd="sng">
                        <a:solidFill>
                          <a:srgbClr val="C00000"/>
                        </a:solidFill>
                      </a:ln>
                      <a:effectLst/>
                    </a:spPr>
                    <a:txSp>
                      <a:txBody>
                        <a:bodyPr anchor="ctr"/>
                        <a:lstStyle>
                          <a:defPPr>
                            <a:defRPr lang="zh-CN"/>
                          </a:defPPr>
                          <a:lvl1pPr marL="0" algn="l" defTabSz="1219200" rtl="0" eaLnBrk="1" latinLnBrk="0" hangingPunct="1">
                            <a:defRPr sz="2400" kern="1200">
                              <a:solidFill>
                                <a:schemeClr val="lt1"/>
                              </a:solidFill>
                              <a:latin typeface="+mn-lt"/>
                              <a:ea typeface="+mn-ea"/>
                              <a:cs typeface="+mn-cs"/>
                            </a:defRPr>
                          </a:lvl1pPr>
                          <a:lvl2pPr marL="609600" algn="l" defTabSz="1219200" rtl="0" eaLnBrk="1" latinLnBrk="0" hangingPunct="1">
                            <a:defRPr sz="2400" kern="1200">
                              <a:solidFill>
                                <a:schemeClr val="lt1"/>
                              </a:solidFill>
                              <a:latin typeface="+mn-lt"/>
                              <a:ea typeface="+mn-ea"/>
                              <a:cs typeface="+mn-cs"/>
                            </a:defRPr>
                          </a:lvl2pPr>
                          <a:lvl3pPr marL="1219200" algn="l" defTabSz="1219200" rtl="0" eaLnBrk="1" latinLnBrk="0" hangingPunct="1">
                            <a:defRPr sz="2400" kern="1200">
                              <a:solidFill>
                                <a:schemeClr val="lt1"/>
                              </a:solidFill>
                              <a:latin typeface="+mn-lt"/>
                              <a:ea typeface="+mn-ea"/>
                              <a:cs typeface="+mn-cs"/>
                            </a:defRPr>
                          </a:lvl3pPr>
                          <a:lvl4pPr marL="1828165" algn="l" defTabSz="1219200" rtl="0" eaLnBrk="1" latinLnBrk="0" hangingPunct="1">
                            <a:defRPr sz="2400" kern="1200">
                              <a:solidFill>
                                <a:schemeClr val="lt1"/>
                              </a:solidFill>
                              <a:latin typeface="+mn-lt"/>
                              <a:ea typeface="+mn-ea"/>
                              <a:cs typeface="+mn-cs"/>
                            </a:defRPr>
                          </a:lvl4pPr>
                          <a:lvl5pPr marL="2437765" algn="l" defTabSz="1219200" rtl="0" eaLnBrk="1" latinLnBrk="0" hangingPunct="1">
                            <a:defRPr sz="2400" kern="1200">
                              <a:solidFill>
                                <a:schemeClr val="lt1"/>
                              </a:solidFill>
                              <a:latin typeface="+mn-lt"/>
                              <a:ea typeface="+mn-ea"/>
                              <a:cs typeface="+mn-cs"/>
                            </a:defRPr>
                          </a:lvl5pPr>
                          <a:lvl6pPr marL="3047365" algn="l" defTabSz="1219200" rtl="0" eaLnBrk="1" latinLnBrk="0" hangingPunct="1">
                            <a:defRPr sz="2400" kern="1200">
                              <a:solidFill>
                                <a:schemeClr val="lt1"/>
                              </a:solidFill>
                              <a:latin typeface="+mn-lt"/>
                              <a:ea typeface="+mn-ea"/>
                              <a:cs typeface="+mn-cs"/>
                            </a:defRPr>
                          </a:lvl6pPr>
                          <a:lvl7pPr marL="3656965" algn="l" defTabSz="1219200" rtl="0" eaLnBrk="1" latinLnBrk="0" hangingPunct="1">
                            <a:defRPr sz="2400" kern="1200">
                              <a:solidFill>
                                <a:schemeClr val="lt1"/>
                              </a:solidFill>
                              <a:latin typeface="+mn-lt"/>
                              <a:ea typeface="+mn-ea"/>
                              <a:cs typeface="+mn-cs"/>
                            </a:defRPr>
                          </a:lvl7pPr>
                          <a:lvl8pPr marL="4266565" algn="l" defTabSz="1219200" rtl="0" eaLnBrk="1" latinLnBrk="0" hangingPunct="1">
                            <a:defRPr sz="2400" kern="1200">
                              <a:solidFill>
                                <a:schemeClr val="lt1"/>
                              </a:solidFill>
                              <a:latin typeface="+mn-lt"/>
                              <a:ea typeface="+mn-ea"/>
                              <a:cs typeface="+mn-cs"/>
                            </a:defRPr>
                          </a:lvl8pPr>
                          <a:lvl9pPr marL="4875530" algn="l" defTabSz="1219200" rtl="0" eaLnBrk="1" latinLnBrk="0" hangingPunct="1">
                            <a:defRPr sz="2400" kern="1200">
                              <a:solidFill>
                                <a:schemeClr val="lt1"/>
                              </a:solidFill>
                              <a:latin typeface="+mn-lt"/>
                              <a:ea typeface="+mn-ea"/>
                              <a:cs typeface="+mn-cs"/>
                            </a:defRPr>
                          </a:lvl9pPr>
                        </a:lstStyle>
                        <a:p>
                          <a:pPr algn="ctr"/>
                          <a:endParaRPr lang="zh-CN" altLang="en-US" sz="1800"/>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6" name="组合 8"/>
                      <a:cNvGrpSpPr/>
                    </a:nvGrpSpPr>
                    <a:grpSpPr>
                      <a:xfrm>
                        <a:off x="4744632" y="3462138"/>
                        <a:ext cx="1516380" cy="1496060"/>
                        <a:chOff x="1618087" y="2033753"/>
                        <a:chExt cx="2478087" cy="2478087"/>
                      </a:xfrm>
                    </a:grpSpPr>
                    <a:sp>
                      <a:nvSpPr>
                        <a:cNvPr id="10" name="MH_Other_7"/>
                        <a:cNvSpPr/>
                      </a:nvSpPr>
                      <a:spPr>
                        <a:xfrm>
                          <a:off x="1618087" y="2033753"/>
                          <a:ext cx="2478087" cy="2478087"/>
                        </a:xfrm>
                        <a:prstGeom prst="ellipse">
                          <a:avLst/>
                        </a:prstGeom>
                        <a:solidFill>
                          <a:srgbClr val="C00000"/>
                        </a:solidFill>
                        <a:ln w="3175" cmpd="sng">
                          <a:noFill/>
                        </a:ln>
                        <a:effectLst>
                          <a:outerShdw blurRad="177800" dist="88900" dir="9000000" algn="tr" rotWithShape="0">
                            <a:schemeClr val="bg1">
                              <a:lumMod val="65000"/>
                              <a:alpha val="40000"/>
                            </a:schemeClr>
                          </a:outerShdw>
                        </a:effectLst>
                      </a:spPr>
                      <a:txSp>
                        <a:txBody>
                          <a:bodyPr anchor="ctr"/>
                          <a:lstStyle>
                            <a:defPPr>
                              <a:defRPr lang="zh-CN"/>
                            </a:defPPr>
                            <a:lvl1pPr marL="0" algn="l" defTabSz="1219200" rtl="0" eaLnBrk="1" latinLnBrk="0" hangingPunct="1">
                              <a:defRPr sz="2400" kern="1200">
                                <a:solidFill>
                                  <a:schemeClr val="lt1"/>
                                </a:solidFill>
                                <a:latin typeface="+mn-lt"/>
                                <a:ea typeface="+mn-ea"/>
                                <a:cs typeface="+mn-cs"/>
                              </a:defRPr>
                            </a:lvl1pPr>
                            <a:lvl2pPr marL="609600" algn="l" defTabSz="1219200" rtl="0" eaLnBrk="1" latinLnBrk="0" hangingPunct="1">
                              <a:defRPr sz="2400" kern="1200">
                                <a:solidFill>
                                  <a:schemeClr val="lt1"/>
                                </a:solidFill>
                                <a:latin typeface="+mn-lt"/>
                                <a:ea typeface="+mn-ea"/>
                                <a:cs typeface="+mn-cs"/>
                              </a:defRPr>
                            </a:lvl2pPr>
                            <a:lvl3pPr marL="1219200" algn="l" defTabSz="1219200" rtl="0" eaLnBrk="1" latinLnBrk="0" hangingPunct="1">
                              <a:defRPr sz="2400" kern="1200">
                                <a:solidFill>
                                  <a:schemeClr val="lt1"/>
                                </a:solidFill>
                                <a:latin typeface="+mn-lt"/>
                                <a:ea typeface="+mn-ea"/>
                                <a:cs typeface="+mn-cs"/>
                              </a:defRPr>
                            </a:lvl3pPr>
                            <a:lvl4pPr marL="1828165" algn="l" defTabSz="1219200" rtl="0" eaLnBrk="1" latinLnBrk="0" hangingPunct="1">
                              <a:defRPr sz="2400" kern="1200">
                                <a:solidFill>
                                  <a:schemeClr val="lt1"/>
                                </a:solidFill>
                                <a:latin typeface="+mn-lt"/>
                                <a:ea typeface="+mn-ea"/>
                                <a:cs typeface="+mn-cs"/>
                              </a:defRPr>
                            </a:lvl4pPr>
                            <a:lvl5pPr marL="2437765" algn="l" defTabSz="1219200" rtl="0" eaLnBrk="1" latinLnBrk="0" hangingPunct="1">
                              <a:defRPr sz="2400" kern="1200">
                                <a:solidFill>
                                  <a:schemeClr val="lt1"/>
                                </a:solidFill>
                                <a:latin typeface="+mn-lt"/>
                                <a:ea typeface="+mn-ea"/>
                                <a:cs typeface="+mn-cs"/>
                              </a:defRPr>
                            </a:lvl5pPr>
                            <a:lvl6pPr marL="3047365" algn="l" defTabSz="1219200" rtl="0" eaLnBrk="1" latinLnBrk="0" hangingPunct="1">
                              <a:defRPr sz="2400" kern="1200">
                                <a:solidFill>
                                  <a:schemeClr val="lt1"/>
                                </a:solidFill>
                                <a:latin typeface="+mn-lt"/>
                                <a:ea typeface="+mn-ea"/>
                                <a:cs typeface="+mn-cs"/>
                              </a:defRPr>
                            </a:lvl6pPr>
                            <a:lvl7pPr marL="3656965" algn="l" defTabSz="1219200" rtl="0" eaLnBrk="1" latinLnBrk="0" hangingPunct="1">
                              <a:defRPr sz="2400" kern="1200">
                                <a:solidFill>
                                  <a:schemeClr val="lt1"/>
                                </a:solidFill>
                                <a:latin typeface="+mn-lt"/>
                                <a:ea typeface="+mn-ea"/>
                                <a:cs typeface="+mn-cs"/>
                              </a:defRPr>
                            </a:lvl7pPr>
                            <a:lvl8pPr marL="4266565" algn="l" defTabSz="1219200" rtl="0" eaLnBrk="1" latinLnBrk="0" hangingPunct="1">
                              <a:defRPr sz="2400" kern="1200">
                                <a:solidFill>
                                  <a:schemeClr val="lt1"/>
                                </a:solidFill>
                                <a:latin typeface="+mn-lt"/>
                                <a:ea typeface="+mn-ea"/>
                                <a:cs typeface="+mn-cs"/>
                              </a:defRPr>
                            </a:lvl8pPr>
                            <a:lvl9pPr marL="4875530" algn="l" defTabSz="1219200" rtl="0" eaLnBrk="1" latinLnBrk="0" hangingPunct="1">
                              <a:defRPr sz="2400" kern="1200">
                                <a:solidFill>
                                  <a:schemeClr val="lt1"/>
                                </a:solidFill>
                                <a:latin typeface="+mn-lt"/>
                                <a:ea typeface="+mn-ea"/>
                                <a:cs typeface="+mn-cs"/>
                              </a:defRPr>
                            </a:lvl9pPr>
                          </a:lstStyle>
                          <a:p>
                            <a:pPr algn="ctr"/>
                            <a:endParaRPr lang="zh-CN" altLang="en-US" sz="2000"/>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MH_Title_1"/>
                        <a:cNvSpPr/>
                      </a:nvSpPr>
                      <a:spPr>
                        <a:xfrm>
                          <a:off x="1618087" y="2260946"/>
                          <a:ext cx="2241486" cy="2002665"/>
                        </a:xfrm>
                        <a:prstGeom prst="ellipse">
                          <a:avLst/>
                        </a:prstGeom>
                        <a:solidFill>
                          <a:srgbClr val="FFFAF0"/>
                        </a:solidFill>
                        <a:ln w="12700" cmpd="sng">
                          <a:noFill/>
                        </a:ln>
                        <a:effectLst/>
                      </a:spPr>
                      <a:txSp>
                        <a:txBody>
                          <a:bodyPr lIns="0" tIns="0" rIns="0" bIns="0" anchor="ctr"/>
                          <a:lstStyle>
                            <a:defPPr>
                              <a:defRPr lang="zh-CN"/>
                            </a:defPPr>
                            <a:lvl1pPr marL="0" algn="l" defTabSz="1219200" rtl="0" eaLnBrk="1" latinLnBrk="0" hangingPunct="1">
                              <a:defRPr sz="2400" kern="1200">
                                <a:solidFill>
                                  <a:schemeClr val="lt1"/>
                                </a:solidFill>
                                <a:latin typeface="+mn-lt"/>
                                <a:ea typeface="+mn-ea"/>
                                <a:cs typeface="+mn-cs"/>
                              </a:defRPr>
                            </a:lvl1pPr>
                            <a:lvl2pPr marL="609600" algn="l" defTabSz="1219200" rtl="0" eaLnBrk="1" latinLnBrk="0" hangingPunct="1">
                              <a:defRPr sz="2400" kern="1200">
                                <a:solidFill>
                                  <a:schemeClr val="lt1"/>
                                </a:solidFill>
                                <a:latin typeface="+mn-lt"/>
                                <a:ea typeface="+mn-ea"/>
                                <a:cs typeface="+mn-cs"/>
                              </a:defRPr>
                            </a:lvl2pPr>
                            <a:lvl3pPr marL="1219200" algn="l" defTabSz="1219200" rtl="0" eaLnBrk="1" latinLnBrk="0" hangingPunct="1">
                              <a:defRPr sz="2400" kern="1200">
                                <a:solidFill>
                                  <a:schemeClr val="lt1"/>
                                </a:solidFill>
                                <a:latin typeface="+mn-lt"/>
                                <a:ea typeface="+mn-ea"/>
                                <a:cs typeface="+mn-cs"/>
                              </a:defRPr>
                            </a:lvl3pPr>
                            <a:lvl4pPr marL="1828165" algn="l" defTabSz="1219200" rtl="0" eaLnBrk="1" latinLnBrk="0" hangingPunct="1">
                              <a:defRPr sz="2400" kern="1200">
                                <a:solidFill>
                                  <a:schemeClr val="lt1"/>
                                </a:solidFill>
                                <a:latin typeface="+mn-lt"/>
                                <a:ea typeface="+mn-ea"/>
                                <a:cs typeface="+mn-cs"/>
                              </a:defRPr>
                            </a:lvl4pPr>
                            <a:lvl5pPr marL="2437765" algn="l" defTabSz="1219200" rtl="0" eaLnBrk="1" latinLnBrk="0" hangingPunct="1">
                              <a:defRPr sz="2400" kern="1200">
                                <a:solidFill>
                                  <a:schemeClr val="lt1"/>
                                </a:solidFill>
                                <a:latin typeface="+mn-lt"/>
                                <a:ea typeface="+mn-ea"/>
                                <a:cs typeface="+mn-cs"/>
                              </a:defRPr>
                            </a:lvl5pPr>
                            <a:lvl6pPr marL="3047365" algn="l" defTabSz="1219200" rtl="0" eaLnBrk="1" latinLnBrk="0" hangingPunct="1">
                              <a:defRPr sz="2400" kern="1200">
                                <a:solidFill>
                                  <a:schemeClr val="lt1"/>
                                </a:solidFill>
                                <a:latin typeface="+mn-lt"/>
                                <a:ea typeface="+mn-ea"/>
                                <a:cs typeface="+mn-cs"/>
                              </a:defRPr>
                            </a:lvl6pPr>
                            <a:lvl7pPr marL="3656965" algn="l" defTabSz="1219200" rtl="0" eaLnBrk="1" latinLnBrk="0" hangingPunct="1">
                              <a:defRPr sz="2400" kern="1200">
                                <a:solidFill>
                                  <a:schemeClr val="lt1"/>
                                </a:solidFill>
                                <a:latin typeface="+mn-lt"/>
                                <a:ea typeface="+mn-ea"/>
                                <a:cs typeface="+mn-cs"/>
                              </a:defRPr>
                            </a:lvl7pPr>
                            <a:lvl8pPr marL="4266565" algn="l" defTabSz="1219200" rtl="0" eaLnBrk="1" latinLnBrk="0" hangingPunct="1">
                              <a:defRPr sz="2400" kern="1200">
                                <a:solidFill>
                                  <a:schemeClr val="lt1"/>
                                </a:solidFill>
                                <a:latin typeface="+mn-lt"/>
                                <a:ea typeface="+mn-ea"/>
                                <a:cs typeface="+mn-cs"/>
                              </a:defRPr>
                            </a:lvl8pPr>
                            <a:lvl9pPr marL="4875530" algn="l" defTabSz="1219200" rtl="0" eaLnBrk="1" latinLnBrk="0" hangingPunct="1">
                              <a:defRPr sz="2400" kern="1200">
                                <a:solidFill>
                                  <a:schemeClr val="lt1"/>
                                </a:solidFill>
                                <a:latin typeface="+mn-lt"/>
                                <a:ea typeface="+mn-ea"/>
                                <a:cs typeface="+mn-cs"/>
                              </a:defRPr>
                            </a:lvl9pPr>
                          </a:lstStyle>
                          <a:p>
                            <a:pPr algn="ctr">
                              <a:lnSpc>
                                <a:spcPct val="130000"/>
                              </a:lnSpc>
                            </a:pPr>
                            <a:r>
                              <a:rPr lang="en-US" altLang="zh-CN" sz="1600" dirty="0" smtClean="0">
                                <a:solidFill>
                                  <a:schemeClr val="accent1"/>
                                </a:solidFill>
                                <a:sym typeface="+mn-ea"/>
                              </a:rPr>
                              <a:t>“7</a:t>
                            </a:r>
                            <a:r>
                              <a:rPr lang="zh-CN" altLang="en-US" sz="1600" dirty="0" smtClean="0">
                                <a:solidFill>
                                  <a:schemeClr val="accent1"/>
                                </a:solidFill>
                                <a:sym typeface="+mn-ea"/>
                              </a:rPr>
                              <a:t>个</a:t>
                            </a:r>
                            <a:r>
                              <a:rPr lang="en-US" altLang="zh-CN" sz="1600" dirty="0" smtClean="0">
                                <a:solidFill>
                                  <a:schemeClr val="accent1"/>
                                </a:solidFill>
                                <a:sym typeface="+mn-ea"/>
                              </a:rPr>
                              <a:t>1“</a:t>
                            </a:r>
                            <a:r>
                              <a:rPr lang="zh-CN" altLang="en-US" sz="1600" b="1" dirty="0" smtClean="0">
                                <a:solidFill>
                                  <a:schemeClr val="accent1"/>
                                </a:solidFill>
                                <a:sym typeface="+mn-ea"/>
                              </a:rPr>
                              <a:t>理论与实践相结合工</a:t>
                            </a:r>
                            <a:r>
                              <a:rPr lang="en-US" altLang="zh-CN" sz="1600" b="1" dirty="0" smtClean="0">
                                <a:solidFill>
                                  <a:schemeClr val="accent1"/>
                                </a:solidFill>
                                <a:sym typeface="+mn-ea"/>
                              </a:rPr>
                              <a:t>程</a:t>
                            </a:r>
                            <a:endParaRPr lang="en-US" altLang="zh-CN" sz="1600" b="1" dirty="0" smtClean="0">
                              <a:solidFill>
                                <a:schemeClr val="accent1"/>
                              </a:solidFill>
                              <a:sym typeface="+mn-ea"/>
                            </a:endParaRPr>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2" name="MH_Other_8"/>
                      <a:cNvSpPr/>
                    </a:nvSpPr>
                    <a:spPr>
                      <a:xfrm>
                        <a:off x="5135899" y="5237763"/>
                        <a:ext cx="250825" cy="250825"/>
                      </a:xfrm>
                      <a:prstGeom prst="ellipse">
                        <a:avLst/>
                      </a:prstGeom>
                      <a:noFill/>
                      <a:ln w="38100" cmpd="sng">
                        <a:solidFill>
                          <a:srgbClr val="C00000">
                            <a:alpha val="50000"/>
                          </a:srgbClr>
                        </a:solidFill>
                      </a:ln>
                      <a:effectLst/>
                    </a:spPr>
                    <a:txSp>
                      <a:txBody>
                        <a:bodyPr anchor="ctr"/>
                        <a:lstStyle>
                          <a:defPPr>
                            <a:defRPr lang="zh-CN"/>
                          </a:defPPr>
                          <a:lvl1pPr marL="0" algn="l" defTabSz="1219200" rtl="0" eaLnBrk="1" latinLnBrk="0" hangingPunct="1">
                            <a:defRPr sz="2400" kern="1200">
                              <a:solidFill>
                                <a:schemeClr val="lt1"/>
                              </a:solidFill>
                              <a:latin typeface="+mn-lt"/>
                              <a:ea typeface="+mn-ea"/>
                              <a:cs typeface="+mn-cs"/>
                            </a:defRPr>
                          </a:lvl1pPr>
                          <a:lvl2pPr marL="609600" algn="l" defTabSz="1219200" rtl="0" eaLnBrk="1" latinLnBrk="0" hangingPunct="1">
                            <a:defRPr sz="2400" kern="1200">
                              <a:solidFill>
                                <a:schemeClr val="lt1"/>
                              </a:solidFill>
                              <a:latin typeface="+mn-lt"/>
                              <a:ea typeface="+mn-ea"/>
                              <a:cs typeface="+mn-cs"/>
                            </a:defRPr>
                          </a:lvl2pPr>
                          <a:lvl3pPr marL="1219200" algn="l" defTabSz="1219200" rtl="0" eaLnBrk="1" latinLnBrk="0" hangingPunct="1">
                            <a:defRPr sz="2400" kern="1200">
                              <a:solidFill>
                                <a:schemeClr val="lt1"/>
                              </a:solidFill>
                              <a:latin typeface="+mn-lt"/>
                              <a:ea typeface="+mn-ea"/>
                              <a:cs typeface="+mn-cs"/>
                            </a:defRPr>
                          </a:lvl3pPr>
                          <a:lvl4pPr marL="1828165" algn="l" defTabSz="1219200" rtl="0" eaLnBrk="1" latinLnBrk="0" hangingPunct="1">
                            <a:defRPr sz="2400" kern="1200">
                              <a:solidFill>
                                <a:schemeClr val="lt1"/>
                              </a:solidFill>
                              <a:latin typeface="+mn-lt"/>
                              <a:ea typeface="+mn-ea"/>
                              <a:cs typeface="+mn-cs"/>
                            </a:defRPr>
                          </a:lvl4pPr>
                          <a:lvl5pPr marL="2437765" algn="l" defTabSz="1219200" rtl="0" eaLnBrk="1" latinLnBrk="0" hangingPunct="1">
                            <a:defRPr sz="2400" kern="1200">
                              <a:solidFill>
                                <a:schemeClr val="lt1"/>
                              </a:solidFill>
                              <a:latin typeface="+mn-lt"/>
                              <a:ea typeface="+mn-ea"/>
                              <a:cs typeface="+mn-cs"/>
                            </a:defRPr>
                          </a:lvl5pPr>
                          <a:lvl6pPr marL="3047365" algn="l" defTabSz="1219200" rtl="0" eaLnBrk="1" latinLnBrk="0" hangingPunct="1">
                            <a:defRPr sz="2400" kern="1200">
                              <a:solidFill>
                                <a:schemeClr val="lt1"/>
                              </a:solidFill>
                              <a:latin typeface="+mn-lt"/>
                              <a:ea typeface="+mn-ea"/>
                              <a:cs typeface="+mn-cs"/>
                            </a:defRPr>
                          </a:lvl6pPr>
                          <a:lvl7pPr marL="3656965" algn="l" defTabSz="1219200" rtl="0" eaLnBrk="1" latinLnBrk="0" hangingPunct="1">
                            <a:defRPr sz="2400" kern="1200">
                              <a:solidFill>
                                <a:schemeClr val="lt1"/>
                              </a:solidFill>
                              <a:latin typeface="+mn-lt"/>
                              <a:ea typeface="+mn-ea"/>
                              <a:cs typeface="+mn-cs"/>
                            </a:defRPr>
                          </a:lvl7pPr>
                          <a:lvl8pPr marL="4266565" algn="l" defTabSz="1219200" rtl="0" eaLnBrk="1" latinLnBrk="0" hangingPunct="1">
                            <a:defRPr sz="2400" kern="1200">
                              <a:solidFill>
                                <a:schemeClr val="lt1"/>
                              </a:solidFill>
                              <a:latin typeface="+mn-lt"/>
                              <a:ea typeface="+mn-ea"/>
                              <a:cs typeface="+mn-cs"/>
                            </a:defRPr>
                          </a:lvl8pPr>
                          <a:lvl9pPr marL="4875530" algn="l" defTabSz="1219200" rtl="0" eaLnBrk="1" latinLnBrk="0" hangingPunct="1">
                            <a:defRPr sz="2400" kern="1200">
                              <a:solidFill>
                                <a:schemeClr val="lt1"/>
                              </a:solidFill>
                              <a:latin typeface="+mn-lt"/>
                              <a:ea typeface="+mn-ea"/>
                              <a:cs typeface="+mn-cs"/>
                            </a:defRPr>
                          </a:lvl9pPr>
                        </a:lstStyle>
                        <a:p>
                          <a:pPr algn="ctr"/>
                          <a:endParaRPr lang="zh-CN" altLang="en-US" sz="1800"/>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MH_Other_9"/>
                      <a:cNvSpPr/>
                    </a:nvSpPr>
                    <a:spPr>
                      <a:xfrm>
                        <a:off x="4405014" y="4631021"/>
                        <a:ext cx="339725" cy="339725"/>
                      </a:xfrm>
                      <a:prstGeom prst="ellipse">
                        <a:avLst/>
                      </a:prstGeom>
                      <a:noFill/>
                      <a:ln w="38100" cmpd="sng">
                        <a:solidFill>
                          <a:srgbClr val="C00000"/>
                        </a:solidFill>
                      </a:ln>
                      <a:effectLst/>
                    </a:spPr>
                    <a:txSp>
                      <a:txBody>
                        <a:bodyPr anchor="ctr"/>
                        <a:lstStyle>
                          <a:defPPr>
                            <a:defRPr lang="zh-CN"/>
                          </a:defPPr>
                          <a:lvl1pPr marL="0" algn="l" defTabSz="1219200" rtl="0" eaLnBrk="1" latinLnBrk="0" hangingPunct="1">
                            <a:defRPr sz="2400" kern="1200">
                              <a:solidFill>
                                <a:schemeClr val="lt1"/>
                              </a:solidFill>
                              <a:latin typeface="+mn-lt"/>
                              <a:ea typeface="+mn-ea"/>
                              <a:cs typeface="+mn-cs"/>
                            </a:defRPr>
                          </a:lvl1pPr>
                          <a:lvl2pPr marL="609600" algn="l" defTabSz="1219200" rtl="0" eaLnBrk="1" latinLnBrk="0" hangingPunct="1">
                            <a:defRPr sz="2400" kern="1200">
                              <a:solidFill>
                                <a:schemeClr val="lt1"/>
                              </a:solidFill>
                              <a:latin typeface="+mn-lt"/>
                              <a:ea typeface="+mn-ea"/>
                              <a:cs typeface="+mn-cs"/>
                            </a:defRPr>
                          </a:lvl2pPr>
                          <a:lvl3pPr marL="1219200" algn="l" defTabSz="1219200" rtl="0" eaLnBrk="1" latinLnBrk="0" hangingPunct="1">
                            <a:defRPr sz="2400" kern="1200">
                              <a:solidFill>
                                <a:schemeClr val="lt1"/>
                              </a:solidFill>
                              <a:latin typeface="+mn-lt"/>
                              <a:ea typeface="+mn-ea"/>
                              <a:cs typeface="+mn-cs"/>
                            </a:defRPr>
                          </a:lvl3pPr>
                          <a:lvl4pPr marL="1828165" algn="l" defTabSz="1219200" rtl="0" eaLnBrk="1" latinLnBrk="0" hangingPunct="1">
                            <a:defRPr sz="2400" kern="1200">
                              <a:solidFill>
                                <a:schemeClr val="lt1"/>
                              </a:solidFill>
                              <a:latin typeface="+mn-lt"/>
                              <a:ea typeface="+mn-ea"/>
                              <a:cs typeface="+mn-cs"/>
                            </a:defRPr>
                          </a:lvl4pPr>
                          <a:lvl5pPr marL="2437765" algn="l" defTabSz="1219200" rtl="0" eaLnBrk="1" latinLnBrk="0" hangingPunct="1">
                            <a:defRPr sz="2400" kern="1200">
                              <a:solidFill>
                                <a:schemeClr val="lt1"/>
                              </a:solidFill>
                              <a:latin typeface="+mn-lt"/>
                              <a:ea typeface="+mn-ea"/>
                              <a:cs typeface="+mn-cs"/>
                            </a:defRPr>
                          </a:lvl5pPr>
                          <a:lvl6pPr marL="3047365" algn="l" defTabSz="1219200" rtl="0" eaLnBrk="1" latinLnBrk="0" hangingPunct="1">
                            <a:defRPr sz="2400" kern="1200">
                              <a:solidFill>
                                <a:schemeClr val="lt1"/>
                              </a:solidFill>
                              <a:latin typeface="+mn-lt"/>
                              <a:ea typeface="+mn-ea"/>
                              <a:cs typeface="+mn-cs"/>
                            </a:defRPr>
                          </a:lvl6pPr>
                          <a:lvl7pPr marL="3656965" algn="l" defTabSz="1219200" rtl="0" eaLnBrk="1" latinLnBrk="0" hangingPunct="1">
                            <a:defRPr sz="2400" kern="1200">
                              <a:solidFill>
                                <a:schemeClr val="lt1"/>
                              </a:solidFill>
                              <a:latin typeface="+mn-lt"/>
                              <a:ea typeface="+mn-ea"/>
                              <a:cs typeface="+mn-cs"/>
                            </a:defRPr>
                          </a:lvl7pPr>
                          <a:lvl8pPr marL="4266565" algn="l" defTabSz="1219200" rtl="0" eaLnBrk="1" latinLnBrk="0" hangingPunct="1">
                            <a:defRPr sz="2400" kern="1200">
                              <a:solidFill>
                                <a:schemeClr val="lt1"/>
                              </a:solidFill>
                              <a:latin typeface="+mn-lt"/>
                              <a:ea typeface="+mn-ea"/>
                              <a:cs typeface="+mn-cs"/>
                            </a:defRPr>
                          </a:lvl8pPr>
                          <a:lvl9pPr marL="4875530" algn="l" defTabSz="1219200" rtl="0" eaLnBrk="1" latinLnBrk="0" hangingPunct="1">
                            <a:defRPr sz="2400" kern="1200">
                              <a:solidFill>
                                <a:schemeClr val="lt1"/>
                              </a:solidFill>
                              <a:latin typeface="+mn-lt"/>
                              <a:ea typeface="+mn-ea"/>
                              <a:cs typeface="+mn-cs"/>
                            </a:defRPr>
                          </a:lvl9pPr>
                        </a:lstStyle>
                        <a:p>
                          <a:pPr algn="ctr"/>
                          <a:endParaRPr lang="zh-CN" altLang="en-US" sz="1800"/>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MH_Other_10"/>
                      <a:cNvSpPr/>
                    </a:nvSpPr>
                    <a:spPr>
                      <a:xfrm>
                        <a:off x="6680535" y="3981732"/>
                        <a:ext cx="280988" cy="280988"/>
                      </a:xfrm>
                      <a:prstGeom prst="ellipse">
                        <a:avLst/>
                      </a:prstGeom>
                      <a:noFill/>
                      <a:ln w="38100" cmpd="sng">
                        <a:solidFill>
                          <a:srgbClr val="C00000">
                            <a:alpha val="63000"/>
                          </a:srgbClr>
                        </a:solidFill>
                      </a:ln>
                      <a:effectLst/>
                    </a:spPr>
                    <a:txSp>
                      <a:txBody>
                        <a:bodyPr anchor="ctr"/>
                        <a:lstStyle>
                          <a:defPPr>
                            <a:defRPr lang="zh-CN"/>
                          </a:defPPr>
                          <a:lvl1pPr marL="0" algn="l" defTabSz="1219200" rtl="0" eaLnBrk="1" latinLnBrk="0" hangingPunct="1">
                            <a:defRPr sz="2400" kern="1200">
                              <a:solidFill>
                                <a:schemeClr val="lt1"/>
                              </a:solidFill>
                              <a:latin typeface="+mn-lt"/>
                              <a:ea typeface="+mn-ea"/>
                              <a:cs typeface="+mn-cs"/>
                            </a:defRPr>
                          </a:lvl1pPr>
                          <a:lvl2pPr marL="609600" algn="l" defTabSz="1219200" rtl="0" eaLnBrk="1" latinLnBrk="0" hangingPunct="1">
                            <a:defRPr sz="2400" kern="1200">
                              <a:solidFill>
                                <a:schemeClr val="lt1"/>
                              </a:solidFill>
                              <a:latin typeface="+mn-lt"/>
                              <a:ea typeface="+mn-ea"/>
                              <a:cs typeface="+mn-cs"/>
                            </a:defRPr>
                          </a:lvl2pPr>
                          <a:lvl3pPr marL="1219200" algn="l" defTabSz="1219200" rtl="0" eaLnBrk="1" latinLnBrk="0" hangingPunct="1">
                            <a:defRPr sz="2400" kern="1200">
                              <a:solidFill>
                                <a:schemeClr val="lt1"/>
                              </a:solidFill>
                              <a:latin typeface="+mn-lt"/>
                              <a:ea typeface="+mn-ea"/>
                              <a:cs typeface="+mn-cs"/>
                            </a:defRPr>
                          </a:lvl3pPr>
                          <a:lvl4pPr marL="1828165" algn="l" defTabSz="1219200" rtl="0" eaLnBrk="1" latinLnBrk="0" hangingPunct="1">
                            <a:defRPr sz="2400" kern="1200">
                              <a:solidFill>
                                <a:schemeClr val="lt1"/>
                              </a:solidFill>
                              <a:latin typeface="+mn-lt"/>
                              <a:ea typeface="+mn-ea"/>
                              <a:cs typeface="+mn-cs"/>
                            </a:defRPr>
                          </a:lvl4pPr>
                          <a:lvl5pPr marL="2437765" algn="l" defTabSz="1219200" rtl="0" eaLnBrk="1" latinLnBrk="0" hangingPunct="1">
                            <a:defRPr sz="2400" kern="1200">
                              <a:solidFill>
                                <a:schemeClr val="lt1"/>
                              </a:solidFill>
                              <a:latin typeface="+mn-lt"/>
                              <a:ea typeface="+mn-ea"/>
                              <a:cs typeface="+mn-cs"/>
                            </a:defRPr>
                          </a:lvl5pPr>
                          <a:lvl6pPr marL="3047365" algn="l" defTabSz="1219200" rtl="0" eaLnBrk="1" latinLnBrk="0" hangingPunct="1">
                            <a:defRPr sz="2400" kern="1200">
                              <a:solidFill>
                                <a:schemeClr val="lt1"/>
                              </a:solidFill>
                              <a:latin typeface="+mn-lt"/>
                              <a:ea typeface="+mn-ea"/>
                              <a:cs typeface="+mn-cs"/>
                            </a:defRPr>
                          </a:lvl6pPr>
                          <a:lvl7pPr marL="3656965" algn="l" defTabSz="1219200" rtl="0" eaLnBrk="1" latinLnBrk="0" hangingPunct="1">
                            <a:defRPr sz="2400" kern="1200">
                              <a:solidFill>
                                <a:schemeClr val="lt1"/>
                              </a:solidFill>
                              <a:latin typeface="+mn-lt"/>
                              <a:ea typeface="+mn-ea"/>
                              <a:cs typeface="+mn-cs"/>
                            </a:defRPr>
                          </a:lvl7pPr>
                          <a:lvl8pPr marL="4266565" algn="l" defTabSz="1219200" rtl="0" eaLnBrk="1" latinLnBrk="0" hangingPunct="1">
                            <a:defRPr sz="2400" kern="1200">
                              <a:solidFill>
                                <a:schemeClr val="lt1"/>
                              </a:solidFill>
                              <a:latin typeface="+mn-lt"/>
                              <a:ea typeface="+mn-ea"/>
                              <a:cs typeface="+mn-cs"/>
                            </a:defRPr>
                          </a:lvl8pPr>
                          <a:lvl9pPr marL="4875530" algn="l" defTabSz="1219200" rtl="0" eaLnBrk="1" latinLnBrk="0" hangingPunct="1">
                            <a:defRPr sz="2400" kern="1200">
                              <a:solidFill>
                                <a:schemeClr val="lt1"/>
                              </a:solidFill>
                              <a:latin typeface="+mn-lt"/>
                              <a:ea typeface="+mn-ea"/>
                              <a:cs typeface="+mn-cs"/>
                            </a:defRPr>
                          </a:lvl9pPr>
                        </a:lstStyle>
                        <a:p>
                          <a:pPr algn="ctr"/>
                          <a:endParaRPr lang="zh-CN" altLang="en-US" sz="1800"/>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MH_Other_11"/>
                      <a:cNvSpPr/>
                    </a:nvSpPr>
                    <a:spPr>
                      <a:xfrm>
                        <a:off x="5386724" y="3084161"/>
                        <a:ext cx="261937" cy="261937"/>
                      </a:xfrm>
                      <a:prstGeom prst="ellipse">
                        <a:avLst/>
                      </a:prstGeom>
                      <a:noFill/>
                      <a:ln w="38100" cmpd="sng">
                        <a:solidFill>
                          <a:srgbClr val="C00000"/>
                        </a:solidFill>
                      </a:ln>
                      <a:effectLst/>
                    </a:spPr>
                    <a:txSp>
                      <a:txBody>
                        <a:bodyPr anchor="ctr"/>
                        <a:lstStyle>
                          <a:defPPr>
                            <a:defRPr lang="zh-CN"/>
                          </a:defPPr>
                          <a:lvl1pPr marL="0" algn="l" defTabSz="1219200" rtl="0" eaLnBrk="1" latinLnBrk="0" hangingPunct="1">
                            <a:defRPr sz="2400" kern="1200">
                              <a:solidFill>
                                <a:schemeClr val="lt1"/>
                              </a:solidFill>
                              <a:latin typeface="+mn-lt"/>
                              <a:ea typeface="+mn-ea"/>
                              <a:cs typeface="+mn-cs"/>
                            </a:defRPr>
                          </a:lvl1pPr>
                          <a:lvl2pPr marL="609600" algn="l" defTabSz="1219200" rtl="0" eaLnBrk="1" latinLnBrk="0" hangingPunct="1">
                            <a:defRPr sz="2400" kern="1200">
                              <a:solidFill>
                                <a:schemeClr val="lt1"/>
                              </a:solidFill>
                              <a:latin typeface="+mn-lt"/>
                              <a:ea typeface="+mn-ea"/>
                              <a:cs typeface="+mn-cs"/>
                            </a:defRPr>
                          </a:lvl2pPr>
                          <a:lvl3pPr marL="1219200" algn="l" defTabSz="1219200" rtl="0" eaLnBrk="1" latinLnBrk="0" hangingPunct="1">
                            <a:defRPr sz="2400" kern="1200">
                              <a:solidFill>
                                <a:schemeClr val="lt1"/>
                              </a:solidFill>
                              <a:latin typeface="+mn-lt"/>
                              <a:ea typeface="+mn-ea"/>
                              <a:cs typeface="+mn-cs"/>
                            </a:defRPr>
                          </a:lvl3pPr>
                          <a:lvl4pPr marL="1828165" algn="l" defTabSz="1219200" rtl="0" eaLnBrk="1" latinLnBrk="0" hangingPunct="1">
                            <a:defRPr sz="2400" kern="1200">
                              <a:solidFill>
                                <a:schemeClr val="lt1"/>
                              </a:solidFill>
                              <a:latin typeface="+mn-lt"/>
                              <a:ea typeface="+mn-ea"/>
                              <a:cs typeface="+mn-cs"/>
                            </a:defRPr>
                          </a:lvl4pPr>
                          <a:lvl5pPr marL="2437765" algn="l" defTabSz="1219200" rtl="0" eaLnBrk="1" latinLnBrk="0" hangingPunct="1">
                            <a:defRPr sz="2400" kern="1200">
                              <a:solidFill>
                                <a:schemeClr val="lt1"/>
                              </a:solidFill>
                              <a:latin typeface="+mn-lt"/>
                              <a:ea typeface="+mn-ea"/>
                              <a:cs typeface="+mn-cs"/>
                            </a:defRPr>
                          </a:lvl5pPr>
                          <a:lvl6pPr marL="3047365" algn="l" defTabSz="1219200" rtl="0" eaLnBrk="1" latinLnBrk="0" hangingPunct="1">
                            <a:defRPr sz="2400" kern="1200">
                              <a:solidFill>
                                <a:schemeClr val="lt1"/>
                              </a:solidFill>
                              <a:latin typeface="+mn-lt"/>
                              <a:ea typeface="+mn-ea"/>
                              <a:cs typeface="+mn-cs"/>
                            </a:defRPr>
                          </a:lvl6pPr>
                          <a:lvl7pPr marL="3656965" algn="l" defTabSz="1219200" rtl="0" eaLnBrk="1" latinLnBrk="0" hangingPunct="1">
                            <a:defRPr sz="2400" kern="1200">
                              <a:solidFill>
                                <a:schemeClr val="lt1"/>
                              </a:solidFill>
                              <a:latin typeface="+mn-lt"/>
                              <a:ea typeface="+mn-ea"/>
                              <a:cs typeface="+mn-cs"/>
                            </a:defRPr>
                          </a:lvl7pPr>
                          <a:lvl8pPr marL="4266565" algn="l" defTabSz="1219200" rtl="0" eaLnBrk="1" latinLnBrk="0" hangingPunct="1">
                            <a:defRPr sz="2400" kern="1200">
                              <a:solidFill>
                                <a:schemeClr val="lt1"/>
                              </a:solidFill>
                              <a:latin typeface="+mn-lt"/>
                              <a:ea typeface="+mn-ea"/>
                              <a:cs typeface="+mn-cs"/>
                            </a:defRPr>
                          </a:lvl8pPr>
                          <a:lvl9pPr marL="4875530" algn="l" defTabSz="1219200" rtl="0" eaLnBrk="1" latinLnBrk="0" hangingPunct="1">
                            <a:defRPr sz="2400" kern="1200">
                              <a:solidFill>
                                <a:schemeClr val="lt1"/>
                              </a:solidFill>
                              <a:latin typeface="+mn-lt"/>
                              <a:ea typeface="+mn-ea"/>
                              <a:cs typeface="+mn-cs"/>
                            </a:defRPr>
                          </a:lvl9pPr>
                        </a:lstStyle>
                        <a:p>
                          <a:pPr algn="ctr"/>
                          <a:endParaRPr lang="zh-CN" altLang="en-US" sz="1800"/>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MH_Other_1"/>
                      <a:cNvSpPr/>
                    </a:nvSpPr>
                    <a:spPr>
                      <a:xfrm>
                        <a:off x="6344832" y="3345933"/>
                        <a:ext cx="1106805" cy="1073785"/>
                      </a:xfrm>
                      <a:prstGeom prst="ellipse">
                        <a:avLst/>
                      </a:prstGeom>
                      <a:solidFill>
                        <a:srgbClr val="C00000"/>
                      </a:solidFill>
                      <a:ln w="3175" cmpd="sng">
                        <a:noFill/>
                      </a:ln>
                      <a:effectLst/>
                    </a:spPr>
                    <a:txSp>
                      <a:txBody>
                        <a:bodyPr anchor="ctr"/>
                        <a:lstStyle>
                          <a:defPPr>
                            <a:defRPr lang="zh-CN"/>
                          </a:defPPr>
                          <a:lvl1pPr marL="0" algn="l" defTabSz="1219200" rtl="0" eaLnBrk="1" latinLnBrk="0" hangingPunct="1">
                            <a:defRPr sz="2400" kern="1200">
                              <a:solidFill>
                                <a:schemeClr val="lt1"/>
                              </a:solidFill>
                              <a:latin typeface="+mn-lt"/>
                              <a:ea typeface="+mn-ea"/>
                              <a:cs typeface="+mn-cs"/>
                            </a:defRPr>
                          </a:lvl1pPr>
                          <a:lvl2pPr marL="609600" algn="l" defTabSz="1219200" rtl="0" eaLnBrk="1" latinLnBrk="0" hangingPunct="1">
                            <a:defRPr sz="2400" kern="1200">
                              <a:solidFill>
                                <a:schemeClr val="lt1"/>
                              </a:solidFill>
                              <a:latin typeface="+mn-lt"/>
                              <a:ea typeface="+mn-ea"/>
                              <a:cs typeface="+mn-cs"/>
                            </a:defRPr>
                          </a:lvl2pPr>
                          <a:lvl3pPr marL="1219200" algn="l" defTabSz="1219200" rtl="0" eaLnBrk="1" latinLnBrk="0" hangingPunct="1">
                            <a:defRPr sz="2400" kern="1200">
                              <a:solidFill>
                                <a:schemeClr val="lt1"/>
                              </a:solidFill>
                              <a:latin typeface="+mn-lt"/>
                              <a:ea typeface="+mn-ea"/>
                              <a:cs typeface="+mn-cs"/>
                            </a:defRPr>
                          </a:lvl3pPr>
                          <a:lvl4pPr marL="1828165" algn="l" defTabSz="1219200" rtl="0" eaLnBrk="1" latinLnBrk="0" hangingPunct="1">
                            <a:defRPr sz="2400" kern="1200">
                              <a:solidFill>
                                <a:schemeClr val="lt1"/>
                              </a:solidFill>
                              <a:latin typeface="+mn-lt"/>
                              <a:ea typeface="+mn-ea"/>
                              <a:cs typeface="+mn-cs"/>
                            </a:defRPr>
                          </a:lvl4pPr>
                          <a:lvl5pPr marL="2437765" algn="l" defTabSz="1219200" rtl="0" eaLnBrk="1" latinLnBrk="0" hangingPunct="1">
                            <a:defRPr sz="2400" kern="1200">
                              <a:solidFill>
                                <a:schemeClr val="lt1"/>
                              </a:solidFill>
                              <a:latin typeface="+mn-lt"/>
                              <a:ea typeface="+mn-ea"/>
                              <a:cs typeface="+mn-cs"/>
                            </a:defRPr>
                          </a:lvl5pPr>
                          <a:lvl6pPr marL="3047365" algn="l" defTabSz="1219200" rtl="0" eaLnBrk="1" latinLnBrk="0" hangingPunct="1">
                            <a:defRPr sz="2400" kern="1200">
                              <a:solidFill>
                                <a:schemeClr val="lt1"/>
                              </a:solidFill>
                              <a:latin typeface="+mn-lt"/>
                              <a:ea typeface="+mn-ea"/>
                              <a:cs typeface="+mn-cs"/>
                            </a:defRPr>
                          </a:lvl6pPr>
                          <a:lvl7pPr marL="3656965" algn="l" defTabSz="1219200" rtl="0" eaLnBrk="1" latinLnBrk="0" hangingPunct="1">
                            <a:defRPr sz="2400" kern="1200">
                              <a:solidFill>
                                <a:schemeClr val="lt1"/>
                              </a:solidFill>
                              <a:latin typeface="+mn-lt"/>
                              <a:ea typeface="+mn-ea"/>
                              <a:cs typeface="+mn-cs"/>
                            </a:defRPr>
                          </a:lvl7pPr>
                          <a:lvl8pPr marL="4266565" algn="l" defTabSz="1219200" rtl="0" eaLnBrk="1" latinLnBrk="0" hangingPunct="1">
                            <a:defRPr sz="2400" kern="1200">
                              <a:solidFill>
                                <a:schemeClr val="lt1"/>
                              </a:solidFill>
                              <a:latin typeface="+mn-lt"/>
                              <a:ea typeface="+mn-ea"/>
                              <a:cs typeface="+mn-cs"/>
                            </a:defRPr>
                          </a:lvl8pPr>
                          <a:lvl9pPr marL="4875530" algn="l" defTabSz="1219200" rtl="0" eaLnBrk="1" latinLnBrk="0" hangingPunct="1">
                            <a:defRPr sz="2400" kern="1200">
                              <a:solidFill>
                                <a:schemeClr val="lt1"/>
                              </a:solidFill>
                              <a:latin typeface="+mn-lt"/>
                              <a:ea typeface="+mn-ea"/>
                              <a:cs typeface="+mn-cs"/>
                            </a:defRPr>
                          </a:lvl9pPr>
                        </a:lstStyle>
                        <a:p>
                          <a:pPr algn="ctr"/>
                          <a:r>
                            <a:rPr lang="zh-CN" altLang="en-US" sz="1800" b="1" dirty="0" smtClean="0">
                              <a:solidFill>
                                <a:srgbClr val="FFFAF0"/>
                              </a:solidFill>
                              <a:latin typeface="微软雅黑" panose="020B0503020204020204" pitchFamily="2" charset="-122"/>
                              <a:ea typeface="微软雅黑" panose="020B0503020204020204" pitchFamily="2" charset="-122"/>
                            </a:rPr>
                            <a:t>上海红色展览</a:t>
                          </a:r>
                          <a:endParaRPr lang="zh-CN" altLang="en-US" sz="1800" b="1" dirty="0" smtClean="0">
                            <a:solidFill>
                              <a:srgbClr val="FFFAF0"/>
                            </a:solidFill>
                            <a:latin typeface="微软雅黑" panose="020B0503020204020204" pitchFamily="2" charset="-122"/>
                            <a:ea typeface="微软雅黑" panose="020B0503020204020204" pitchFamily="2"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MH_Other_1"/>
                      <a:cNvSpPr/>
                    </a:nvSpPr>
                    <a:spPr>
                      <a:xfrm>
                        <a:off x="3761652" y="3526908"/>
                        <a:ext cx="982980" cy="1033145"/>
                      </a:xfrm>
                      <a:prstGeom prst="ellipse">
                        <a:avLst/>
                      </a:prstGeom>
                      <a:solidFill>
                        <a:srgbClr val="C00000"/>
                      </a:solidFill>
                      <a:ln w="3175" cmpd="sng">
                        <a:noFill/>
                      </a:ln>
                      <a:effectLst/>
                    </a:spPr>
                    <a:txSp>
                      <a:txBody>
                        <a:bodyPr anchor="ctr"/>
                        <a:lstStyle>
                          <a:defPPr>
                            <a:defRPr lang="zh-CN"/>
                          </a:defPPr>
                          <a:lvl1pPr marL="0" algn="l" defTabSz="1219200" rtl="0" eaLnBrk="1" latinLnBrk="0" hangingPunct="1">
                            <a:defRPr sz="2400" kern="1200">
                              <a:solidFill>
                                <a:schemeClr val="lt1"/>
                              </a:solidFill>
                              <a:latin typeface="+mn-lt"/>
                              <a:ea typeface="+mn-ea"/>
                              <a:cs typeface="+mn-cs"/>
                            </a:defRPr>
                          </a:lvl1pPr>
                          <a:lvl2pPr marL="609600" algn="l" defTabSz="1219200" rtl="0" eaLnBrk="1" latinLnBrk="0" hangingPunct="1">
                            <a:defRPr sz="2400" kern="1200">
                              <a:solidFill>
                                <a:schemeClr val="lt1"/>
                              </a:solidFill>
                              <a:latin typeface="+mn-lt"/>
                              <a:ea typeface="+mn-ea"/>
                              <a:cs typeface="+mn-cs"/>
                            </a:defRPr>
                          </a:lvl2pPr>
                          <a:lvl3pPr marL="1219200" algn="l" defTabSz="1219200" rtl="0" eaLnBrk="1" latinLnBrk="0" hangingPunct="1">
                            <a:defRPr sz="2400" kern="1200">
                              <a:solidFill>
                                <a:schemeClr val="lt1"/>
                              </a:solidFill>
                              <a:latin typeface="+mn-lt"/>
                              <a:ea typeface="+mn-ea"/>
                              <a:cs typeface="+mn-cs"/>
                            </a:defRPr>
                          </a:lvl3pPr>
                          <a:lvl4pPr marL="1828165" algn="l" defTabSz="1219200" rtl="0" eaLnBrk="1" latinLnBrk="0" hangingPunct="1">
                            <a:defRPr sz="2400" kern="1200">
                              <a:solidFill>
                                <a:schemeClr val="lt1"/>
                              </a:solidFill>
                              <a:latin typeface="+mn-lt"/>
                              <a:ea typeface="+mn-ea"/>
                              <a:cs typeface="+mn-cs"/>
                            </a:defRPr>
                          </a:lvl4pPr>
                          <a:lvl5pPr marL="2437765" algn="l" defTabSz="1219200" rtl="0" eaLnBrk="1" latinLnBrk="0" hangingPunct="1">
                            <a:defRPr sz="2400" kern="1200">
                              <a:solidFill>
                                <a:schemeClr val="lt1"/>
                              </a:solidFill>
                              <a:latin typeface="+mn-lt"/>
                              <a:ea typeface="+mn-ea"/>
                              <a:cs typeface="+mn-cs"/>
                            </a:defRPr>
                          </a:lvl5pPr>
                          <a:lvl6pPr marL="3047365" algn="l" defTabSz="1219200" rtl="0" eaLnBrk="1" latinLnBrk="0" hangingPunct="1">
                            <a:defRPr sz="2400" kern="1200">
                              <a:solidFill>
                                <a:schemeClr val="lt1"/>
                              </a:solidFill>
                              <a:latin typeface="+mn-lt"/>
                              <a:ea typeface="+mn-ea"/>
                              <a:cs typeface="+mn-cs"/>
                            </a:defRPr>
                          </a:lvl6pPr>
                          <a:lvl7pPr marL="3656965" algn="l" defTabSz="1219200" rtl="0" eaLnBrk="1" latinLnBrk="0" hangingPunct="1">
                            <a:defRPr sz="2400" kern="1200">
                              <a:solidFill>
                                <a:schemeClr val="lt1"/>
                              </a:solidFill>
                              <a:latin typeface="+mn-lt"/>
                              <a:ea typeface="+mn-ea"/>
                              <a:cs typeface="+mn-cs"/>
                            </a:defRPr>
                          </a:lvl7pPr>
                          <a:lvl8pPr marL="4266565" algn="l" defTabSz="1219200" rtl="0" eaLnBrk="1" latinLnBrk="0" hangingPunct="1">
                            <a:defRPr sz="2400" kern="1200">
                              <a:solidFill>
                                <a:schemeClr val="lt1"/>
                              </a:solidFill>
                              <a:latin typeface="+mn-lt"/>
                              <a:ea typeface="+mn-ea"/>
                              <a:cs typeface="+mn-cs"/>
                            </a:defRPr>
                          </a:lvl8pPr>
                          <a:lvl9pPr marL="4875530" algn="l" defTabSz="1219200" rtl="0" eaLnBrk="1" latinLnBrk="0" hangingPunct="1">
                            <a:defRPr sz="2400" kern="1200">
                              <a:solidFill>
                                <a:schemeClr val="lt1"/>
                              </a:solidFill>
                              <a:latin typeface="+mn-lt"/>
                              <a:ea typeface="+mn-ea"/>
                              <a:cs typeface="+mn-cs"/>
                            </a:defRPr>
                          </a:lvl9pPr>
                        </a:lstStyle>
                        <a:p>
                          <a:pPr algn="ctr"/>
                          <a:r>
                            <a:rPr lang="zh-CN" altLang="zh-CN" sz="1800" b="1" dirty="0"/>
                            <a:t>红色上海</a:t>
                          </a:r>
                          <a:endParaRPr lang="zh-CN" altLang="zh-CN" sz="1800"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MH_Other_1"/>
                      <a:cNvSpPr/>
                    </a:nvSpPr>
                    <a:spPr>
                      <a:xfrm>
                        <a:off x="4276637" y="2598538"/>
                        <a:ext cx="1043305" cy="1045210"/>
                      </a:xfrm>
                      <a:prstGeom prst="ellipse">
                        <a:avLst/>
                      </a:prstGeom>
                      <a:solidFill>
                        <a:srgbClr val="C00000"/>
                      </a:solidFill>
                      <a:ln w="3175" cmpd="sng">
                        <a:noFill/>
                      </a:ln>
                      <a:effectLst/>
                    </a:spPr>
                    <a:txSp>
                      <a:txBody>
                        <a:bodyPr anchor="ctr"/>
                        <a:lstStyle>
                          <a:defPPr>
                            <a:defRPr lang="zh-CN"/>
                          </a:defPPr>
                          <a:lvl1pPr marL="0" algn="l" defTabSz="1219200" rtl="0" eaLnBrk="1" latinLnBrk="0" hangingPunct="1">
                            <a:defRPr sz="2400" kern="1200">
                              <a:solidFill>
                                <a:schemeClr val="lt1"/>
                              </a:solidFill>
                              <a:latin typeface="+mn-lt"/>
                              <a:ea typeface="+mn-ea"/>
                              <a:cs typeface="+mn-cs"/>
                            </a:defRPr>
                          </a:lvl1pPr>
                          <a:lvl2pPr marL="609600" algn="l" defTabSz="1219200" rtl="0" eaLnBrk="1" latinLnBrk="0" hangingPunct="1">
                            <a:defRPr sz="2400" kern="1200">
                              <a:solidFill>
                                <a:schemeClr val="lt1"/>
                              </a:solidFill>
                              <a:latin typeface="+mn-lt"/>
                              <a:ea typeface="+mn-ea"/>
                              <a:cs typeface="+mn-cs"/>
                            </a:defRPr>
                          </a:lvl2pPr>
                          <a:lvl3pPr marL="1219200" algn="l" defTabSz="1219200" rtl="0" eaLnBrk="1" latinLnBrk="0" hangingPunct="1">
                            <a:defRPr sz="2400" kern="1200">
                              <a:solidFill>
                                <a:schemeClr val="lt1"/>
                              </a:solidFill>
                              <a:latin typeface="+mn-lt"/>
                              <a:ea typeface="+mn-ea"/>
                              <a:cs typeface="+mn-cs"/>
                            </a:defRPr>
                          </a:lvl3pPr>
                          <a:lvl4pPr marL="1828165" algn="l" defTabSz="1219200" rtl="0" eaLnBrk="1" latinLnBrk="0" hangingPunct="1">
                            <a:defRPr sz="2400" kern="1200">
                              <a:solidFill>
                                <a:schemeClr val="lt1"/>
                              </a:solidFill>
                              <a:latin typeface="+mn-lt"/>
                              <a:ea typeface="+mn-ea"/>
                              <a:cs typeface="+mn-cs"/>
                            </a:defRPr>
                          </a:lvl4pPr>
                          <a:lvl5pPr marL="2437765" algn="l" defTabSz="1219200" rtl="0" eaLnBrk="1" latinLnBrk="0" hangingPunct="1">
                            <a:defRPr sz="2400" kern="1200">
                              <a:solidFill>
                                <a:schemeClr val="lt1"/>
                              </a:solidFill>
                              <a:latin typeface="+mn-lt"/>
                              <a:ea typeface="+mn-ea"/>
                              <a:cs typeface="+mn-cs"/>
                            </a:defRPr>
                          </a:lvl5pPr>
                          <a:lvl6pPr marL="3047365" algn="l" defTabSz="1219200" rtl="0" eaLnBrk="1" latinLnBrk="0" hangingPunct="1">
                            <a:defRPr sz="2400" kern="1200">
                              <a:solidFill>
                                <a:schemeClr val="lt1"/>
                              </a:solidFill>
                              <a:latin typeface="+mn-lt"/>
                              <a:ea typeface="+mn-ea"/>
                              <a:cs typeface="+mn-cs"/>
                            </a:defRPr>
                          </a:lvl6pPr>
                          <a:lvl7pPr marL="3656965" algn="l" defTabSz="1219200" rtl="0" eaLnBrk="1" latinLnBrk="0" hangingPunct="1">
                            <a:defRPr sz="2400" kern="1200">
                              <a:solidFill>
                                <a:schemeClr val="lt1"/>
                              </a:solidFill>
                              <a:latin typeface="+mn-lt"/>
                              <a:ea typeface="+mn-ea"/>
                              <a:cs typeface="+mn-cs"/>
                            </a:defRPr>
                          </a:lvl7pPr>
                          <a:lvl8pPr marL="4266565" algn="l" defTabSz="1219200" rtl="0" eaLnBrk="1" latinLnBrk="0" hangingPunct="1">
                            <a:defRPr sz="2400" kern="1200">
                              <a:solidFill>
                                <a:schemeClr val="lt1"/>
                              </a:solidFill>
                              <a:latin typeface="+mn-lt"/>
                              <a:ea typeface="+mn-ea"/>
                              <a:cs typeface="+mn-cs"/>
                            </a:defRPr>
                          </a:lvl8pPr>
                          <a:lvl9pPr marL="4875530" algn="l" defTabSz="1219200" rtl="0" eaLnBrk="1" latinLnBrk="0" hangingPunct="1">
                            <a:defRPr sz="2400" kern="1200">
                              <a:solidFill>
                                <a:schemeClr val="lt1"/>
                              </a:solidFill>
                              <a:latin typeface="+mn-lt"/>
                              <a:ea typeface="+mn-ea"/>
                              <a:cs typeface="+mn-cs"/>
                            </a:defRPr>
                          </a:lvl9pPr>
                        </a:lstStyle>
                        <a:p>
                          <a:pPr algn="ctr"/>
                          <a:r>
                            <a:rPr lang="zh-CN" altLang="en-US" sz="1800" b="1" dirty="0" smtClean="0">
                              <a:solidFill>
                                <a:srgbClr val="FFFAF0"/>
                              </a:solidFill>
                              <a:latin typeface="微软雅黑" panose="020B0503020204020204" pitchFamily="2" charset="-122"/>
                              <a:ea typeface="微软雅黑" panose="020B0503020204020204" pitchFamily="2" charset="-122"/>
                            </a:rPr>
                            <a:t>海派文化</a:t>
                          </a:r>
                          <a:endParaRPr lang="zh-CN" altLang="en-US" sz="1800" b="1" dirty="0" smtClean="0">
                            <a:solidFill>
                              <a:srgbClr val="FFFAF0"/>
                            </a:solidFill>
                            <a:latin typeface="微软雅黑" panose="020B0503020204020204" pitchFamily="2" charset="-122"/>
                            <a:ea typeface="微软雅黑" panose="020B0503020204020204" pitchFamily="2"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MH_Other_1"/>
                      <a:cNvSpPr/>
                    </a:nvSpPr>
                    <a:spPr>
                      <a:xfrm>
                        <a:off x="4744632" y="5151238"/>
                        <a:ext cx="1170305" cy="1115060"/>
                      </a:xfrm>
                      <a:prstGeom prst="ellipse">
                        <a:avLst/>
                      </a:prstGeom>
                      <a:solidFill>
                        <a:srgbClr val="C00000"/>
                      </a:solidFill>
                      <a:ln w="3175" cmpd="sng">
                        <a:noFill/>
                      </a:ln>
                      <a:effectLst/>
                    </a:spPr>
                    <a:txSp>
                      <a:txBody>
                        <a:bodyPr anchor="ctr"/>
                        <a:lstStyle>
                          <a:defPPr>
                            <a:defRPr lang="zh-CN"/>
                          </a:defPPr>
                          <a:lvl1pPr marL="0" algn="l" defTabSz="1219200" rtl="0" eaLnBrk="1" latinLnBrk="0" hangingPunct="1">
                            <a:defRPr sz="2400" kern="1200">
                              <a:solidFill>
                                <a:schemeClr val="lt1"/>
                              </a:solidFill>
                              <a:latin typeface="+mn-lt"/>
                              <a:ea typeface="+mn-ea"/>
                              <a:cs typeface="+mn-cs"/>
                            </a:defRPr>
                          </a:lvl1pPr>
                          <a:lvl2pPr marL="609600" algn="l" defTabSz="1219200" rtl="0" eaLnBrk="1" latinLnBrk="0" hangingPunct="1">
                            <a:defRPr sz="2400" kern="1200">
                              <a:solidFill>
                                <a:schemeClr val="lt1"/>
                              </a:solidFill>
                              <a:latin typeface="+mn-lt"/>
                              <a:ea typeface="+mn-ea"/>
                              <a:cs typeface="+mn-cs"/>
                            </a:defRPr>
                          </a:lvl2pPr>
                          <a:lvl3pPr marL="1219200" algn="l" defTabSz="1219200" rtl="0" eaLnBrk="1" latinLnBrk="0" hangingPunct="1">
                            <a:defRPr sz="2400" kern="1200">
                              <a:solidFill>
                                <a:schemeClr val="lt1"/>
                              </a:solidFill>
                              <a:latin typeface="+mn-lt"/>
                              <a:ea typeface="+mn-ea"/>
                              <a:cs typeface="+mn-cs"/>
                            </a:defRPr>
                          </a:lvl3pPr>
                          <a:lvl4pPr marL="1828165" algn="l" defTabSz="1219200" rtl="0" eaLnBrk="1" latinLnBrk="0" hangingPunct="1">
                            <a:defRPr sz="2400" kern="1200">
                              <a:solidFill>
                                <a:schemeClr val="lt1"/>
                              </a:solidFill>
                              <a:latin typeface="+mn-lt"/>
                              <a:ea typeface="+mn-ea"/>
                              <a:cs typeface="+mn-cs"/>
                            </a:defRPr>
                          </a:lvl4pPr>
                          <a:lvl5pPr marL="2437765" algn="l" defTabSz="1219200" rtl="0" eaLnBrk="1" latinLnBrk="0" hangingPunct="1">
                            <a:defRPr sz="2400" kern="1200">
                              <a:solidFill>
                                <a:schemeClr val="lt1"/>
                              </a:solidFill>
                              <a:latin typeface="+mn-lt"/>
                              <a:ea typeface="+mn-ea"/>
                              <a:cs typeface="+mn-cs"/>
                            </a:defRPr>
                          </a:lvl5pPr>
                          <a:lvl6pPr marL="3047365" algn="l" defTabSz="1219200" rtl="0" eaLnBrk="1" latinLnBrk="0" hangingPunct="1">
                            <a:defRPr sz="2400" kern="1200">
                              <a:solidFill>
                                <a:schemeClr val="lt1"/>
                              </a:solidFill>
                              <a:latin typeface="+mn-lt"/>
                              <a:ea typeface="+mn-ea"/>
                              <a:cs typeface="+mn-cs"/>
                            </a:defRPr>
                          </a:lvl6pPr>
                          <a:lvl7pPr marL="3656965" algn="l" defTabSz="1219200" rtl="0" eaLnBrk="1" latinLnBrk="0" hangingPunct="1">
                            <a:defRPr sz="2400" kern="1200">
                              <a:solidFill>
                                <a:schemeClr val="lt1"/>
                              </a:solidFill>
                              <a:latin typeface="+mn-lt"/>
                              <a:ea typeface="+mn-ea"/>
                              <a:cs typeface="+mn-cs"/>
                            </a:defRPr>
                          </a:lvl7pPr>
                          <a:lvl8pPr marL="4266565" algn="l" defTabSz="1219200" rtl="0" eaLnBrk="1" latinLnBrk="0" hangingPunct="1">
                            <a:defRPr sz="2400" kern="1200">
                              <a:solidFill>
                                <a:schemeClr val="lt1"/>
                              </a:solidFill>
                              <a:latin typeface="+mn-lt"/>
                              <a:ea typeface="+mn-ea"/>
                              <a:cs typeface="+mn-cs"/>
                            </a:defRPr>
                          </a:lvl8pPr>
                          <a:lvl9pPr marL="4875530" algn="l" defTabSz="1219200" rtl="0" eaLnBrk="1" latinLnBrk="0" hangingPunct="1">
                            <a:defRPr sz="2400" kern="1200">
                              <a:solidFill>
                                <a:schemeClr val="lt1"/>
                              </a:solidFill>
                              <a:latin typeface="+mn-lt"/>
                              <a:ea typeface="+mn-ea"/>
                              <a:cs typeface="+mn-cs"/>
                            </a:defRPr>
                          </a:lvl9pPr>
                        </a:lstStyle>
                        <a:p>
                          <a:pPr algn="ctr"/>
                          <a:r>
                            <a:rPr lang="zh-CN" altLang="en-US" sz="1600" b="1" dirty="0" smtClean="0">
                              <a:solidFill>
                                <a:srgbClr val="FFFAF0"/>
                              </a:solidFill>
                              <a:latin typeface="微软雅黑" panose="020B0503020204020204" pitchFamily="2" charset="-122"/>
                              <a:ea typeface="微软雅黑" panose="020B0503020204020204" pitchFamily="2" charset="-122"/>
                            </a:rPr>
                            <a:t>进博会组织建设</a:t>
                          </a:r>
                          <a:endParaRPr lang="zh-CN" altLang="en-US" sz="1600" b="1" dirty="0" smtClean="0">
                            <a:solidFill>
                              <a:srgbClr val="FFFAF0"/>
                            </a:solidFill>
                            <a:latin typeface="微软雅黑" panose="020B0503020204020204" pitchFamily="2" charset="-122"/>
                            <a:ea typeface="微软雅黑" panose="020B0503020204020204" pitchFamily="2"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MH_Other_1"/>
                      <a:cNvSpPr/>
                    </a:nvSpPr>
                    <a:spPr>
                      <a:xfrm>
                        <a:off x="5692052" y="4839453"/>
                        <a:ext cx="1581150" cy="1283335"/>
                      </a:xfrm>
                      <a:prstGeom prst="ellipse">
                        <a:avLst/>
                      </a:prstGeom>
                      <a:solidFill>
                        <a:srgbClr val="C00000"/>
                      </a:solidFill>
                      <a:ln w="3175" cmpd="sng">
                        <a:noFill/>
                      </a:ln>
                      <a:effectLst/>
                    </a:spPr>
                    <a:txSp>
                      <a:txBody>
                        <a:bodyPr anchor="ctr"/>
                        <a:lstStyle>
                          <a:defPPr>
                            <a:defRPr lang="zh-CN"/>
                          </a:defPPr>
                          <a:lvl1pPr marL="0" algn="l" defTabSz="1219200" rtl="0" eaLnBrk="1" latinLnBrk="0" hangingPunct="1">
                            <a:defRPr sz="2400" kern="1200">
                              <a:solidFill>
                                <a:schemeClr val="lt1"/>
                              </a:solidFill>
                              <a:latin typeface="+mn-lt"/>
                              <a:ea typeface="+mn-ea"/>
                              <a:cs typeface="+mn-cs"/>
                            </a:defRPr>
                          </a:lvl1pPr>
                          <a:lvl2pPr marL="609600" algn="l" defTabSz="1219200" rtl="0" eaLnBrk="1" latinLnBrk="0" hangingPunct="1">
                            <a:defRPr sz="2400" kern="1200">
                              <a:solidFill>
                                <a:schemeClr val="lt1"/>
                              </a:solidFill>
                              <a:latin typeface="+mn-lt"/>
                              <a:ea typeface="+mn-ea"/>
                              <a:cs typeface="+mn-cs"/>
                            </a:defRPr>
                          </a:lvl2pPr>
                          <a:lvl3pPr marL="1219200" algn="l" defTabSz="1219200" rtl="0" eaLnBrk="1" latinLnBrk="0" hangingPunct="1">
                            <a:defRPr sz="2400" kern="1200">
                              <a:solidFill>
                                <a:schemeClr val="lt1"/>
                              </a:solidFill>
                              <a:latin typeface="+mn-lt"/>
                              <a:ea typeface="+mn-ea"/>
                              <a:cs typeface="+mn-cs"/>
                            </a:defRPr>
                          </a:lvl3pPr>
                          <a:lvl4pPr marL="1828165" algn="l" defTabSz="1219200" rtl="0" eaLnBrk="1" latinLnBrk="0" hangingPunct="1">
                            <a:defRPr sz="2400" kern="1200">
                              <a:solidFill>
                                <a:schemeClr val="lt1"/>
                              </a:solidFill>
                              <a:latin typeface="+mn-lt"/>
                              <a:ea typeface="+mn-ea"/>
                              <a:cs typeface="+mn-cs"/>
                            </a:defRPr>
                          </a:lvl4pPr>
                          <a:lvl5pPr marL="2437765" algn="l" defTabSz="1219200" rtl="0" eaLnBrk="1" latinLnBrk="0" hangingPunct="1">
                            <a:defRPr sz="2400" kern="1200">
                              <a:solidFill>
                                <a:schemeClr val="lt1"/>
                              </a:solidFill>
                              <a:latin typeface="+mn-lt"/>
                              <a:ea typeface="+mn-ea"/>
                              <a:cs typeface="+mn-cs"/>
                            </a:defRPr>
                          </a:lvl5pPr>
                          <a:lvl6pPr marL="3047365" algn="l" defTabSz="1219200" rtl="0" eaLnBrk="1" latinLnBrk="0" hangingPunct="1">
                            <a:defRPr sz="2400" kern="1200">
                              <a:solidFill>
                                <a:schemeClr val="lt1"/>
                              </a:solidFill>
                              <a:latin typeface="+mn-lt"/>
                              <a:ea typeface="+mn-ea"/>
                              <a:cs typeface="+mn-cs"/>
                            </a:defRPr>
                          </a:lvl6pPr>
                          <a:lvl7pPr marL="3656965" algn="l" defTabSz="1219200" rtl="0" eaLnBrk="1" latinLnBrk="0" hangingPunct="1">
                            <a:defRPr sz="2400" kern="1200">
                              <a:solidFill>
                                <a:schemeClr val="lt1"/>
                              </a:solidFill>
                              <a:latin typeface="+mn-lt"/>
                              <a:ea typeface="+mn-ea"/>
                              <a:cs typeface="+mn-cs"/>
                            </a:defRPr>
                          </a:lvl7pPr>
                          <a:lvl8pPr marL="4266565" algn="l" defTabSz="1219200" rtl="0" eaLnBrk="1" latinLnBrk="0" hangingPunct="1">
                            <a:defRPr sz="2400" kern="1200">
                              <a:solidFill>
                                <a:schemeClr val="lt1"/>
                              </a:solidFill>
                              <a:latin typeface="+mn-lt"/>
                              <a:ea typeface="+mn-ea"/>
                              <a:cs typeface="+mn-cs"/>
                            </a:defRPr>
                          </a:lvl8pPr>
                          <a:lvl9pPr marL="4875530" algn="l" defTabSz="1219200" rtl="0" eaLnBrk="1" latinLnBrk="0" hangingPunct="1">
                            <a:defRPr sz="2400" kern="1200">
                              <a:solidFill>
                                <a:schemeClr val="lt1"/>
                              </a:solidFill>
                              <a:latin typeface="+mn-lt"/>
                              <a:ea typeface="+mn-ea"/>
                              <a:cs typeface="+mn-cs"/>
                            </a:defRPr>
                          </a:lvl9pPr>
                        </a:lstStyle>
                        <a:p>
                          <a:pPr algn="ctr"/>
                          <a:r>
                            <a:rPr lang="zh-CN" altLang="en-US" sz="1800" b="1" dirty="0" smtClean="0">
                              <a:solidFill>
                                <a:srgbClr val="FFFAF0"/>
                              </a:solidFill>
                              <a:latin typeface="微软雅黑" panose="020B0503020204020204" pitchFamily="2" charset="-122"/>
                              <a:ea typeface="微软雅黑" panose="020B0503020204020204" pitchFamily="2" charset="-122"/>
                            </a:rPr>
                            <a:t>课程思政支部书记</a:t>
                          </a:r>
                          <a:r>
                            <a:rPr lang="en-US" altLang="zh-CN" sz="1800" b="1" dirty="0" smtClean="0">
                              <a:solidFill>
                                <a:srgbClr val="FFFAF0"/>
                              </a:solidFill>
                              <a:latin typeface="微软雅黑" panose="020B0503020204020204" pitchFamily="2" charset="-122"/>
                              <a:ea typeface="微软雅黑" panose="020B0503020204020204" pitchFamily="2" charset="-122"/>
                            </a:rPr>
                            <a:t>“</a:t>
                          </a:r>
                          <a:r>
                            <a:rPr lang="zh-CN" altLang="en-US" sz="1800" b="1" dirty="0" smtClean="0">
                              <a:solidFill>
                                <a:srgbClr val="FFFAF0"/>
                              </a:solidFill>
                              <a:latin typeface="微软雅黑" panose="020B0503020204020204" pitchFamily="2" charset="-122"/>
                              <a:ea typeface="微软雅黑" panose="020B0503020204020204" pitchFamily="2" charset="-122"/>
                            </a:rPr>
                            <a:t>微党课</a:t>
                          </a:r>
                          <a:r>
                            <a:rPr lang="en-US" altLang="zh-CN" sz="1800" b="1" dirty="0" smtClean="0">
                              <a:solidFill>
                                <a:srgbClr val="FFFAF0"/>
                              </a:solidFill>
                              <a:latin typeface="微软雅黑" panose="020B0503020204020204" pitchFamily="2" charset="-122"/>
                              <a:ea typeface="微软雅黑" panose="020B0503020204020204" pitchFamily="2" charset="-122"/>
                            </a:rPr>
                            <a:t>”</a:t>
                          </a:r>
                          <a:endParaRPr lang="en-US" altLang="zh-CN" sz="1800" b="1" dirty="0" smtClean="0">
                            <a:solidFill>
                              <a:srgbClr val="FFFAF0"/>
                            </a:solidFill>
                            <a:latin typeface="微软雅黑" panose="020B0503020204020204" pitchFamily="2" charset="-122"/>
                            <a:ea typeface="微软雅黑" panose="020B0503020204020204" pitchFamily="2"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MH_Other_1"/>
                      <a:cNvSpPr/>
                    </a:nvSpPr>
                    <a:spPr>
                      <a:xfrm>
                        <a:off x="3907067" y="4580373"/>
                        <a:ext cx="982980" cy="1033145"/>
                      </a:xfrm>
                      <a:prstGeom prst="ellipse">
                        <a:avLst/>
                      </a:prstGeom>
                      <a:solidFill>
                        <a:srgbClr val="C00000"/>
                      </a:solidFill>
                      <a:ln w="3175" cmpd="sng">
                        <a:noFill/>
                      </a:ln>
                      <a:effectLst/>
                    </a:spPr>
                    <a:txSp>
                      <a:txBody>
                        <a:bodyPr anchor="ctr"/>
                        <a:lstStyle>
                          <a:defPPr>
                            <a:defRPr lang="zh-CN"/>
                          </a:defPPr>
                          <a:lvl1pPr marL="0" algn="l" defTabSz="1219200" rtl="0" eaLnBrk="1" latinLnBrk="0" hangingPunct="1">
                            <a:defRPr sz="2400" kern="1200">
                              <a:solidFill>
                                <a:schemeClr val="lt1"/>
                              </a:solidFill>
                              <a:latin typeface="+mn-lt"/>
                              <a:ea typeface="+mn-ea"/>
                              <a:cs typeface="+mn-cs"/>
                            </a:defRPr>
                          </a:lvl1pPr>
                          <a:lvl2pPr marL="609600" algn="l" defTabSz="1219200" rtl="0" eaLnBrk="1" latinLnBrk="0" hangingPunct="1">
                            <a:defRPr sz="2400" kern="1200">
                              <a:solidFill>
                                <a:schemeClr val="lt1"/>
                              </a:solidFill>
                              <a:latin typeface="+mn-lt"/>
                              <a:ea typeface="+mn-ea"/>
                              <a:cs typeface="+mn-cs"/>
                            </a:defRPr>
                          </a:lvl2pPr>
                          <a:lvl3pPr marL="1219200" algn="l" defTabSz="1219200" rtl="0" eaLnBrk="1" latinLnBrk="0" hangingPunct="1">
                            <a:defRPr sz="2400" kern="1200">
                              <a:solidFill>
                                <a:schemeClr val="lt1"/>
                              </a:solidFill>
                              <a:latin typeface="+mn-lt"/>
                              <a:ea typeface="+mn-ea"/>
                              <a:cs typeface="+mn-cs"/>
                            </a:defRPr>
                          </a:lvl3pPr>
                          <a:lvl4pPr marL="1828165" algn="l" defTabSz="1219200" rtl="0" eaLnBrk="1" latinLnBrk="0" hangingPunct="1">
                            <a:defRPr sz="2400" kern="1200">
                              <a:solidFill>
                                <a:schemeClr val="lt1"/>
                              </a:solidFill>
                              <a:latin typeface="+mn-lt"/>
                              <a:ea typeface="+mn-ea"/>
                              <a:cs typeface="+mn-cs"/>
                            </a:defRPr>
                          </a:lvl4pPr>
                          <a:lvl5pPr marL="2437765" algn="l" defTabSz="1219200" rtl="0" eaLnBrk="1" latinLnBrk="0" hangingPunct="1">
                            <a:defRPr sz="2400" kern="1200">
                              <a:solidFill>
                                <a:schemeClr val="lt1"/>
                              </a:solidFill>
                              <a:latin typeface="+mn-lt"/>
                              <a:ea typeface="+mn-ea"/>
                              <a:cs typeface="+mn-cs"/>
                            </a:defRPr>
                          </a:lvl5pPr>
                          <a:lvl6pPr marL="3047365" algn="l" defTabSz="1219200" rtl="0" eaLnBrk="1" latinLnBrk="0" hangingPunct="1">
                            <a:defRPr sz="2400" kern="1200">
                              <a:solidFill>
                                <a:schemeClr val="lt1"/>
                              </a:solidFill>
                              <a:latin typeface="+mn-lt"/>
                              <a:ea typeface="+mn-ea"/>
                              <a:cs typeface="+mn-cs"/>
                            </a:defRPr>
                          </a:lvl6pPr>
                          <a:lvl7pPr marL="3656965" algn="l" defTabSz="1219200" rtl="0" eaLnBrk="1" latinLnBrk="0" hangingPunct="1">
                            <a:defRPr sz="2400" kern="1200">
                              <a:solidFill>
                                <a:schemeClr val="lt1"/>
                              </a:solidFill>
                              <a:latin typeface="+mn-lt"/>
                              <a:ea typeface="+mn-ea"/>
                              <a:cs typeface="+mn-cs"/>
                            </a:defRPr>
                          </a:lvl7pPr>
                          <a:lvl8pPr marL="4266565" algn="l" defTabSz="1219200" rtl="0" eaLnBrk="1" latinLnBrk="0" hangingPunct="1">
                            <a:defRPr sz="2400" kern="1200">
                              <a:solidFill>
                                <a:schemeClr val="lt1"/>
                              </a:solidFill>
                              <a:latin typeface="+mn-lt"/>
                              <a:ea typeface="+mn-ea"/>
                              <a:cs typeface="+mn-cs"/>
                            </a:defRPr>
                          </a:lvl8pPr>
                          <a:lvl9pPr marL="4875530" algn="l" defTabSz="1219200" rtl="0" eaLnBrk="1" latinLnBrk="0" hangingPunct="1">
                            <a:defRPr sz="2400" kern="1200">
                              <a:solidFill>
                                <a:schemeClr val="lt1"/>
                              </a:solidFill>
                              <a:latin typeface="+mn-lt"/>
                              <a:ea typeface="+mn-ea"/>
                              <a:cs typeface="+mn-cs"/>
                            </a:defRPr>
                          </a:lvl9pPr>
                        </a:lstStyle>
                        <a:p>
                          <a:pPr algn="ctr"/>
                          <a:r>
                            <a:rPr lang="zh-CN" altLang="zh-CN" sz="1800" b="1" dirty="0"/>
                            <a:t>红色寻访</a:t>
                          </a:r>
                          <a:endParaRPr lang="zh-CN" altLang="zh-CN" sz="18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Pr>
          <w:rFonts w:hint="eastAsia" w:ascii="仿宋" w:hAnsi="仿宋" w:eastAsia="仿宋" w:cs="仿宋"/>
          <w:b/>
          <w:sz w:val="30"/>
          <w:szCs w:val="30"/>
        </w:rPr>
        <w:t>二是</w:t>
      </w:r>
      <w:r>
        <w:rPr>
          <w:rFonts w:hint="eastAsia" w:ascii="仿宋" w:hAnsi="仿宋" w:eastAsia="仿宋" w:cs="仿宋"/>
          <w:sz w:val="30"/>
          <w:szCs w:val="30"/>
        </w:rPr>
        <w:t>完成了学深悟透，学以促行，切实把思想和行动统一到总书记重要讲话精神上来，以“艺术正能量·红色上海系列微党课”系列课程，</w:t>
      </w:r>
      <w:r>
        <w:rPr>
          <w:rFonts w:hint="eastAsia" w:ascii="仿宋" w:hAnsi="仿宋" w:eastAsia="仿宋" w:cs="仿宋"/>
          <w:b/>
          <w:bCs/>
          <w:sz w:val="30"/>
          <w:szCs w:val="30"/>
        </w:rPr>
        <w:t>创新教学：</w:t>
      </w:r>
      <w:r>
        <w:rPr>
          <w:rFonts w:ascii="仿宋" w:hAnsi="仿宋" w:eastAsia="仿宋" w:cs="仿宋"/>
          <w:b/>
          <w:bCs/>
          <w:sz w:val="30"/>
          <w:szCs w:val="30"/>
        </w:rPr>
        <w:t>11</w:t>
      </w:r>
      <w:r>
        <w:rPr>
          <w:rFonts w:hint="eastAsia" w:ascii="仿宋" w:hAnsi="仿宋" w:eastAsia="仿宋" w:cs="仿宋"/>
          <w:b/>
          <w:bCs/>
          <w:sz w:val="30"/>
          <w:szCs w:val="30"/>
        </w:rPr>
        <w:t xml:space="preserve">支部书记 </w:t>
      </w:r>
      <w:r>
        <w:rPr>
          <w:rFonts w:ascii="仿宋" w:hAnsi="仿宋" w:eastAsia="仿宋" w:cs="仿宋"/>
          <w:b/>
          <w:bCs/>
          <w:sz w:val="30"/>
          <w:szCs w:val="30"/>
        </w:rPr>
        <w:t>11“微党课</w:t>
      </w:r>
      <w:r>
        <w:rPr>
          <w:rFonts w:hint="eastAsia" w:ascii="仿宋" w:hAnsi="仿宋" w:eastAsia="仿宋" w:cs="仿宋"/>
          <w:b/>
          <w:bCs/>
          <w:sz w:val="30"/>
          <w:szCs w:val="30"/>
        </w:rPr>
        <w:t>”</w:t>
      </w:r>
      <w:r>
        <w:rPr>
          <w:rFonts w:hint="eastAsia" w:ascii="仿宋" w:hAnsi="仿宋" w:eastAsia="仿宋" w:cs="仿宋"/>
          <w:sz w:val="30"/>
          <w:szCs w:val="30"/>
        </w:rPr>
        <w:t>《意识形态引领艺术类课程教学》</w:t>
      </w:r>
      <w:r>
        <w:rPr>
          <w:rFonts w:ascii="仿宋" w:hAnsi="仿宋" w:eastAsia="仿宋" w:cs="仿宋"/>
          <w:sz w:val="30"/>
          <w:szCs w:val="30"/>
        </w:rPr>
        <w:t xml:space="preserve"> </w:t>
      </w:r>
      <w:r>
        <w:rPr>
          <w:rFonts w:hint="eastAsia" w:ascii="仿宋" w:hAnsi="仿宋" w:eastAsia="仿宋" w:cs="仿宋"/>
          <w:sz w:val="30"/>
          <w:szCs w:val="30"/>
        </w:rPr>
        <w:t>、《上海红色文化与坚定文化自信》</w:t>
      </w:r>
      <w:r>
        <w:rPr>
          <w:rFonts w:ascii="仿宋" w:hAnsi="仿宋" w:eastAsia="仿宋" w:cs="仿宋"/>
          <w:sz w:val="30"/>
          <w:szCs w:val="30"/>
        </w:rPr>
        <w:t xml:space="preserve"> </w:t>
      </w:r>
      <w:r>
        <w:rPr>
          <w:rFonts w:hint="eastAsia" w:ascii="仿宋" w:hAnsi="仿宋" w:eastAsia="仿宋" w:cs="仿宋"/>
          <w:sz w:val="30"/>
          <w:szCs w:val="30"/>
        </w:rPr>
        <w:t>、《微党课“小”支部“大”天地》、《推动优秀传统文化创造性转化》、《学党章党规</w:t>
      </w:r>
      <w:r>
        <w:rPr>
          <w:rFonts w:ascii="仿宋" w:hAnsi="仿宋" w:eastAsia="仿宋" w:cs="仿宋"/>
          <w:sz w:val="30"/>
          <w:szCs w:val="30"/>
        </w:rPr>
        <w:t>——</w:t>
      </w:r>
      <w:r>
        <w:rPr>
          <w:rFonts w:hint="eastAsia" w:ascii="仿宋" w:hAnsi="仿宋" w:eastAsia="仿宋" w:cs="仿宋"/>
          <w:sz w:val="30"/>
          <w:szCs w:val="30"/>
        </w:rPr>
        <w:t>支部工作条例》</w:t>
      </w:r>
      <w:r>
        <w:rPr>
          <w:rFonts w:ascii="仿宋" w:hAnsi="仿宋" w:eastAsia="仿宋" w:cs="仿宋"/>
          <w:sz w:val="30"/>
          <w:szCs w:val="30"/>
        </w:rPr>
        <w:t xml:space="preserve"> </w:t>
      </w:r>
      <w:r>
        <w:rPr>
          <w:rFonts w:hint="eastAsia" w:ascii="仿宋" w:hAnsi="仿宋" w:eastAsia="仿宋" w:cs="仿宋"/>
          <w:sz w:val="30"/>
          <w:szCs w:val="30"/>
        </w:rPr>
        <w:t>、《大美中国文化》</w:t>
      </w:r>
      <w:r>
        <w:rPr>
          <w:rFonts w:ascii="仿宋" w:hAnsi="仿宋" w:eastAsia="仿宋" w:cs="仿宋"/>
          <w:sz w:val="30"/>
          <w:szCs w:val="30"/>
        </w:rPr>
        <w:t xml:space="preserve"> </w:t>
      </w:r>
      <w:r>
        <w:rPr>
          <w:rFonts w:hint="eastAsia" w:ascii="仿宋" w:hAnsi="仿宋" w:eastAsia="仿宋" w:cs="仿宋"/>
          <w:sz w:val="30"/>
          <w:szCs w:val="30"/>
        </w:rPr>
        <w:t>、《争做新时代融媒体模范先锋》、《爱国，奋斗，建功立业》</w:t>
      </w:r>
      <w:r>
        <w:rPr>
          <w:rFonts w:ascii="仿宋" w:hAnsi="仿宋" w:eastAsia="仿宋" w:cs="仿宋"/>
          <w:sz w:val="30"/>
          <w:szCs w:val="30"/>
        </w:rPr>
        <w:t xml:space="preserve"> </w:t>
      </w:r>
      <w:r>
        <w:rPr>
          <w:rFonts w:hint="eastAsia" w:ascii="仿宋" w:hAnsi="仿宋" w:eastAsia="仿宋" w:cs="仿宋"/>
          <w:sz w:val="30"/>
          <w:szCs w:val="30"/>
        </w:rPr>
        <w:t>、《传承红色基因 弘扬中国精神》</w:t>
      </w:r>
      <w:r>
        <w:rPr>
          <w:rFonts w:ascii="仿宋" w:hAnsi="仿宋" w:eastAsia="仿宋" w:cs="仿宋"/>
          <w:sz w:val="30"/>
          <w:szCs w:val="30"/>
        </w:rPr>
        <w:t xml:space="preserve"> </w:t>
      </w:r>
      <w:r>
        <w:rPr>
          <w:rFonts w:hint="eastAsia" w:ascii="仿宋" w:hAnsi="仿宋" w:eastAsia="仿宋" w:cs="仿宋"/>
          <w:sz w:val="30"/>
          <w:szCs w:val="30"/>
        </w:rPr>
        <w:t>、《党的时政精神解读（十九大精神解读）》</w:t>
      </w:r>
      <w:r>
        <w:rPr>
          <w:rFonts w:ascii="仿宋" w:hAnsi="仿宋" w:eastAsia="仿宋" w:cs="仿宋"/>
          <w:sz w:val="30"/>
          <w:szCs w:val="30"/>
        </w:rPr>
        <w:t xml:space="preserve"> </w:t>
      </w:r>
      <w:r>
        <w:rPr>
          <w:rFonts w:hint="eastAsia" w:ascii="仿宋" w:hAnsi="仿宋" w:eastAsia="仿宋" w:cs="仿宋"/>
          <w:sz w:val="30"/>
          <w:szCs w:val="30"/>
        </w:rPr>
        <w:t>、《和总书记一起重温入党誓词》等</w:t>
      </w:r>
      <w:r>
        <w:rPr>
          <w:rFonts w:ascii="仿宋" w:hAnsi="仿宋" w:eastAsia="仿宋" w:cs="仿宋"/>
          <w:sz w:val="30"/>
          <w:szCs w:val="30"/>
        </w:rPr>
        <w:t>“7</w:t>
      </w:r>
      <w:r>
        <w:rPr>
          <w:rFonts w:hint="eastAsia" w:ascii="仿宋" w:hAnsi="仿宋" w:eastAsia="仿宋" w:cs="仿宋"/>
          <w:sz w:val="30"/>
          <w:szCs w:val="30"/>
        </w:rPr>
        <w:t>个</w:t>
      </w:r>
      <w:r>
        <w:rPr>
          <w:rFonts w:ascii="仿宋" w:hAnsi="仿宋" w:eastAsia="仿宋" w:cs="仿宋"/>
          <w:sz w:val="30"/>
          <w:szCs w:val="30"/>
        </w:rPr>
        <w:t>1“</w:t>
      </w:r>
      <w:r>
        <w:rPr>
          <w:rFonts w:hint="eastAsia" w:ascii="仿宋" w:hAnsi="仿宋" w:eastAsia="仿宋" w:cs="仿宋"/>
          <w:b/>
          <w:bCs/>
          <w:sz w:val="30"/>
          <w:szCs w:val="30"/>
        </w:rPr>
        <w:t>理论与实践相结合工程</w:t>
      </w:r>
      <w:r>
        <w:rPr>
          <w:rFonts w:hint="eastAsia" w:ascii="仿宋" w:hAnsi="仿宋" w:eastAsia="仿宋" w:cs="仿宋"/>
          <w:sz w:val="30"/>
          <w:szCs w:val="30"/>
        </w:rPr>
        <w:t>，开展了学院党委的伟大党课工程，落实打造上海红色基地的建设。</w:t>
      </w:r>
    </w:p>
    <w:p>
      <w:pPr>
        <w:tabs>
          <w:tab w:val="left" w:pos="2100"/>
        </w:tabs>
        <w:spacing w:line="480" w:lineRule="exact"/>
        <w:ind w:firstLine="600" w:firstLineChars="200"/>
        <w:rPr>
          <w:rFonts w:hint="eastAsia" w:ascii="仿宋" w:hAnsi="仿宋" w:eastAsia="仿宋" w:cs="仿宋"/>
          <w:sz w:val="30"/>
          <w:szCs w:val="30"/>
        </w:rPr>
      </w:pPr>
    </w:p>
    <w:p>
      <w:pPr>
        <w:tabs>
          <w:tab w:val="left" w:pos="2100"/>
        </w:tabs>
        <w:spacing w:line="480" w:lineRule="exact"/>
        <w:ind w:firstLine="600" w:firstLineChars="200"/>
        <w:rPr>
          <w:rFonts w:hint="eastAsia" w:ascii="仿宋" w:hAnsi="仿宋" w:eastAsia="仿宋" w:cs="仿宋"/>
          <w:sz w:val="30"/>
          <w:szCs w:val="30"/>
        </w:rPr>
      </w:pPr>
    </w:p>
    <w:p>
      <w:pPr>
        <w:tabs>
          <w:tab w:val="left" w:pos="2100"/>
        </w:tabs>
        <w:spacing w:line="480" w:lineRule="exact"/>
        <w:ind w:firstLine="600" w:firstLineChars="200"/>
        <w:rPr>
          <w:rFonts w:hint="eastAsia" w:ascii="仿宋" w:hAnsi="仿宋" w:eastAsia="仿宋" w:cs="仿宋"/>
          <w:sz w:val="30"/>
          <w:szCs w:val="30"/>
        </w:rPr>
      </w:pPr>
    </w:p>
    <w:p>
      <w:pPr>
        <w:tabs>
          <w:tab w:val="left" w:pos="2100"/>
        </w:tabs>
        <w:spacing w:line="480" w:lineRule="exact"/>
        <w:ind w:firstLine="600" w:firstLineChars="200"/>
        <w:rPr>
          <w:rFonts w:ascii="仿宋" w:hAnsi="仿宋" w:eastAsia="仿宋" w:cs="仿宋"/>
          <w:sz w:val="30"/>
          <w:szCs w:val="30"/>
        </w:rPr>
      </w:pPr>
    </w:p>
    <w:p>
      <w:pPr>
        <w:tabs>
          <w:tab w:val="left" w:pos="2100"/>
        </w:tabs>
        <w:spacing w:line="480" w:lineRule="exact"/>
        <w:ind w:firstLine="602" w:firstLineChars="200"/>
        <w:rPr>
          <w:rFonts w:ascii="仿宋" w:hAnsi="仿宋" w:eastAsia="仿宋" w:cs="仿宋"/>
          <w:sz w:val="30"/>
          <w:szCs w:val="30"/>
        </w:rPr>
      </w:pPr>
      <w:r>
        <w:rPr>
          <w:rFonts w:hint="eastAsia" w:ascii="仿宋" w:hAnsi="仿宋" w:eastAsia="仿宋" w:cs="仿宋"/>
          <w:b/>
          <w:bCs/>
          <w:sz w:val="30"/>
          <w:szCs w:val="30"/>
        </w:rPr>
        <w:t>（3）整改问题三：</w:t>
      </w:r>
      <w:r>
        <w:rPr>
          <w:rFonts w:hint="eastAsia" w:ascii="仿宋" w:hAnsi="仿宋" w:eastAsia="仿宋" w:cs="仿宋"/>
          <w:sz w:val="30"/>
          <w:szCs w:val="30"/>
        </w:rPr>
        <w:t xml:space="preserve">高质量师资队伍建设不足，不能与一流学科建设和人才培养匹配。 </w:t>
      </w:r>
    </w:p>
    <w:p>
      <w:pPr>
        <w:tabs>
          <w:tab w:val="left" w:pos="2100"/>
        </w:tabs>
        <w:spacing w:line="480" w:lineRule="exact"/>
        <w:ind w:firstLine="602" w:firstLineChars="200"/>
        <w:rPr>
          <w:rFonts w:ascii="仿宋" w:hAnsi="仿宋" w:eastAsia="仿宋" w:cs="仿宋"/>
          <w:sz w:val="30"/>
          <w:szCs w:val="30"/>
        </w:rPr>
      </w:pPr>
      <w:r>
        <w:rPr>
          <w:rFonts w:hint="eastAsia" w:ascii="仿宋" w:hAnsi="仿宋" w:eastAsia="仿宋" w:cs="仿宋"/>
          <w:b/>
          <w:sz w:val="30"/>
          <w:szCs w:val="30"/>
        </w:rPr>
        <w:t>整改举措（</w:t>
      </w:r>
      <w:r>
        <w:rPr>
          <w:rFonts w:ascii="仿宋" w:hAnsi="仿宋" w:eastAsia="仿宋" w:cs="仿宋"/>
          <w:b/>
          <w:sz w:val="30"/>
          <w:szCs w:val="30"/>
        </w:rPr>
        <w:t>1</w:t>
      </w:r>
      <w:r>
        <w:rPr>
          <w:rFonts w:hint="eastAsia" w:ascii="仿宋" w:hAnsi="仿宋" w:eastAsia="仿宋" w:cs="仿宋"/>
          <w:b/>
          <w:sz w:val="30"/>
          <w:szCs w:val="30"/>
        </w:rPr>
        <w:t>）：</w:t>
      </w:r>
      <w:r>
        <w:rPr>
          <w:rFonts w:hint="eastAsia" w:ascii="仿宋" w:hAnsi="仿宋" w:eastAsia="仿宋" w:cs="仿宋"/>
          <w:sz w:val="30"/>
          <w:szCs w:val="30"/>
        </w:rPr>
        <w:t>加强广大教师“立德树人”教育，弘扬优良师德，开展一流本科教育专题研讨会和国家级项目申报动员学习会。成果形式：形成了共识，激发教职员工干事激情。</w:t>
      </w:r>
      <w:r>
        <w:rPr>
          <w:rFonts w:ascii="仿宋" w:hAnsi="仿宋" w:eastAsia="仿宋" w:cs="仿宋"/>
          <w:sz w:val="30"/>
          <w:szCs w:val="30"/>
        </w:rPr>
        <w:t xml:space="preserve"> </w:t>
      </w:r>
    </w:p>
    <w:p>
      <w:pPr>
        <w:tabs>
          <w:tab w:val="left" w:pos="2100"/>
        </w:tabs>
        <w:spacing w:line="480" w:lineRule="exact"/>
        <w:ind w:firstLine="602" w:firstLineChars="200"/>
        <w:rPr>
          <w:rFonts w:ascii="仿宋" w:hAnsi="仿宋" w:eastAsia="仿宋" w:cs="仿宋"/>
          <w:sz w:val="30"/>
          <w:szCs w:val="30"/>
        </w:rPr>
      </w:pPr>
      <w:r>
        <w:rPr>
          <w:rFonts w:hint="eastAsia" w:ascii="仿宋" w:hAnsi="仿宋" w:eastAsia="仿宋" w:cs="仿宋"/>
          <w:b/>
          <w:sz w:val="30"/>
          <w:szCs w:val="30"/>
        </w:rPr>
        <w:t>整改举措（</w:t>
      </w:r>
      <w:r>
        <w:rPr>
          <w:rFonts w:ascii="仿宋" w:hAnsi="仿宋" w:eastAsia="仿宋" w:cs="仿宋"/>
          <w:b/>
          <w:sz w:val="30"/>
          <w:szCs w:val="30"/>
        </w:rPr>
        <w:t>2</w:t>
      </w:r>
      <w:r>
        <w:rPr>
          <w:rFonts w:hint="eastAsia" w:ascii="仿宋" w:hAnsi="仿宋" w:eastAsia="仿宋" w:cs="仿宋"/>
          <w:b/>
          <w:sz w:val="30"/>
          <w:szCs w:val="30"/>
        </w:rPr>
        <w:t>）：</w:t>
      </w:r>
      <w:r>
        <w:rPr>
          <w:rFonts w:hint="eastAsia" w:ascii="仿宋" w:hAnsi="仿宋" w:eastAsia="仿宋" w:cs="仿宋"/>
          <w:sz w:val="30"/>
          <w:szCs w:val="30"/>
        </w:rPr>
        <w:t xml:space="preserve">加强系部在人才培养工作中的主体作用，开展教学研究；       </w:t>
      </w:r>
    </w:p>
    <w:p>
      <w:pPr>
        <w:tabs>
          <w:tab w:val="left" w:pos="2100"/>
        </w:tabs>
        <w:spacing w:line="480" w:lineRule="exact"/>
        <w:ind w:firstLine="602" w:firstLineChars="200"/>
        <w:rPr>
          <w:rFonts w:ascii="仿宋" w:hAnsi="仿宋" w:eastAsia="仿宋" w:cs="仿宋"/>
          <w:sz w:val="30"/>
          <w:szCs w:val="30"/>
        </w:rPr>
      </w:pPr>
      <w:r>
        <w:rPr>
          <w:rFonts w:hint="eastAsia" w:ascii="仿宋" w:hAnsi="仿宋" w:eastAsia="仿宋" w:cs="仿宋"/>
          <w:b/>
          <w:sz w:val="30"/>
          <w:szCs w:val="30"/>
        </w:rPr>
        <w:t>成果形式：</w:t>
      </w:r>
      <w:r>
        <w:rPr>
          <w:rFonts w:hint="eastAsia" w:ascii="仿宋" w:hAnsi="仿宋" w:eastAsia="仿宋" w:cs="仿宋"/>
          <w:sz w:val="30"/>
          <w:szCs w:val="30"/>
        </w:rPr>
        <w:t>调整组织结构，发挥党支部和系室主体作用，推进人才建设（获批</w:t>
      </w:r>
      <w:r>
        <w:rPr>
          <w:rFonts w:ascii="仿宋" w:hAnsi="仿宋" w:eastAsia="仿宋" w:cs="仿宋"/>
          <w:sz w:val="30"/>
          <w:szCs w:val="30"/>
        </w:rPr>
        <w:t>1</w:t>
      </w:r>
      <w:r>
        <w:rPr>
          <w:rFonts w:hint="eastAsia" w:ascii="仿宋" w:hAnsi="仿宋" w:eastAsia="仿宋" w:cs="仿宋"/>
          <w:sz w:val="30"/>
          <w:szCs w:val="30"/>
        </w:rPr>
        <w:t>名上海市东方学者）。</w:t>
      </w:r>
      <w:r>
        <w:rPr>
          <w:rFonts w:ascii="仿宋" w:hAnsi="仿宋" w:eastAsia="仿宋" w:cs="仿宋"/>
          <w:sz w:val="30"/>
          <w:szCs w:val="30"/>
        </w:rPr>
        <w:t xml:space="preserve"> </w:t>
      </w:r>
    </w:p>
    <w:p>
      <w:pPr>
        <w:tabs>
          <w:tab w:val="left" w:pos="2100"/>
        </w:tabs>
        <w:spacing w:line="480" w:lineRule="exact"/>
        <w:ind w:firstLine="602" w:firstLineChars="200"/>
        <w:rPr>
          <w:rFonts w:ascii="仿宋" w:hAnsi="仿宋" w:eastAsia="仿宋" w:cs="仿宋"/>
          <w:sz w:val="30"/>
          <w:szCs w:val="30"/>
        </w:rPr>
      </w:pPr>
      <w:r>
        <w:rPr>
          <w:rFonts w:hint="eastAsia" w:ascii="仿宋" w:hAnsi="仿宋" w:eastAsia="仿宋" w:cs="仿宋"/>
          <w:b/>
          <w:sz w:val="30"/>
          <w:szCs w:val="30"/>
        </w:rPr>
        <w:t>整改举措（</w:t>
      </w:r>
      <w:r>
        <w:rPr>
          <w:rFonts w:ascii="仿宋" w:hAnsi="仿宋" w:eastAsia="仿宋" w:cs="仿宋"/>
          <w:b/>
          <w:sz w:val="30"/>
          <w:szCs w:val="30"/>
        </w:rPr>
        <w:t>3</w:t>
      </w:r>
      <w:r>
        <w:rPr>
          <w:rFonts w:hint="eastAsia" w:ascii="仿宋" w:hAnsi="仿宋" w:eastAsia="仿宋" w:cs="仿宋"/>
          <w:b/>
          <w:sz w:val="30"/>
          <w:szCs w:val="30"/>
        </w:rPr>
        <w:t>）：</w:t>
      </w:r>
      <w:r>
        <w:rPr>
          <w:rFonts w:hint="eastAsia" w:ascii="仿宋" w:hAnsi="仿宋" w:eastAsia="仿宋" w:cs="仿宋"/>
          <w:sz w:val="30"/>
          <w:szCs w:val="30"/>
        </w:rPr>
        <w:t>发挥高校党委引领作用，跨学科协同，科技成果转化，高质量赋能行业转型升级。勇于重担，对标国家战略、推动上海发展、服务进博会、结合学校三大战略和学院中心工作等任务均已进入“施工期”，面对考验、难题、风险、挑战，党员干部要敢闯、敢试、敢担当的服务进博会、大虹桥党建基地、学院党委的党员团队服务G60科创走廊、上海科技影都等基地的任务清单；以及重点在基层，在群众身边开展，求真务实，解决师生啃最难啃的骨头，推进各项工作高质量发展，联合后勤党总支，建设学生社区党建中心等举措成效。</w:t>
      </w:r>
    </w:p>
    <w:p>
      <w:pPr>
        <w:tabs>
          <w:tab w:val="left" w:pos="2100"/>
        </w:tabs>
        <w:spacing w:line="480" w:lineRule="exact"/>
        <w:rPr>
          <w:rFonts w:ascii="仿宋" w:hAnsi="仿宋" w:eastAsia="仿宋" w:cs="仿宋"/>
          <w:sz w:val="30"/>
          <w:szCs w:val="30"/>
        </w:rPr>
      </w:pPr>
      <w:r>
        <w:rPr>
          <w:rFonts w:hint="eastAsia" w:ascii="仿宋" w:hAnsi="仿宋" w:eastAsia="仿宋" w:cs="仿宋"/>
          <w:b/>
          <w:bCs/>
          <w:sz w:val="30"/>
          <w:szCs w:val="30"/>
        </w:rPr>
        <w:t xml:space="preserve">    （4）整改问题四：</w:t>
      </w:r>
      <w:r>
        <w:rPr>
          <w:rFonts w:hint="eastAsia" w:ascii="仿宋" w:hAnsi="仿宋" w:eastAsia="仿宋" w:cs="仿宋"/>
          <w:sz w:val="30"/>
          <w:szCs w:val="30"/>
        </w:rPr>
        <w:t xml:space="preserve">对标一流学科建设和学校发展战略，艺术设计学科一级学科对专业建设发展研究力度不足。 </w:t>
      </w:r>
    </w:p>
    <w:p>
      <w:pPr>
        <w:tabs>
          <w:tab w:val="left" w:pos="2100"/>
        </w:tabs>
        <w:spacing w:line="480" w:lineRule="exac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整改举措（</w:t>
      </w:r>
      <w:r>
        <w:rPr>
          <w:rFonts w:ascii="仿宋" w:hAnsi="仿宋" w:eastAsia="仿宋" w:cs="仿宋"/>
          <w:b/>
          <w:bCs/>
          <w:sz w:val="30"/>
          <w:szCs w:val="30"/>
        </w:rPr>
        <w:t>1</w:t>
      </w:r>
      <w:r>
        <w:rPr>
          <w:rFonts w:hint="eastAsia" w:ascii="仿宋" w:hAnsi="仿宋" w:eastAsia="仿宋" w:cs="仿宋"/>
          <w:b/>
          <w:bCs/>
          <w:sz w:val="30"/>
          <w:szCs w:val="30"/>
        </w:rPr>
        <w:t>）</w:t>
      </w:r>
      <w:r>
        <w:rPr>
          <w:rFonts w:hint="eastAsia" w:ascii="仿宋" w:hAnsi="仿宋" w:eastAsia="仿宋" w:cs="仿宋"/>
          <w:sz w:val="30"/>
          <w:szCs w:val="30"/>
        </w:rPr>
        <w:t>：分专业开展广泛的专业调研（同类高校专业、企业用人单位、校友、在校生），形成专业人才调研报告。</w:t>
      </w:r>
    </w:p>
    <w:p>
      <w:pPr>
        <w:tabs>
          <w:tab w:val="left" w:pos="2100"/>
        </w:tabs>
        <w:spacing w:line="480" w:lineRule="exac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整改举措（</w:t>
      </w:r>
      <w:r>
        <w:rPr>
          <w:rFonts w:ascii="仿宋" w:hAnsi="仿宋" w:eastAsia="仿宋" w:cs="仿宋"/>
          <w:b/>
          <w:bCs/>
          <w:sz w:val="30"/>
          <w:szCs w:val="30"/>
        </w:rPr>
        <w:t>2</w:t>
      </w:r>
      <w:r>
        <w:rPr>
          <w:rFonts w:hint="eastAsia" w:ascii="仿宋" w:hAnsi="仿宋" w:eastAsia="仿宋" w:cs="仿宋"/>
          <w:b/>
          <w:bCs/>
          <w:sz w:val="30"/>
          <w:szCs w:val="30"/>
        </w:rPr>
        <w:t>）</w:t>
      </w:r>
      <w:r>
        <w:rPr>
          <w:rFonts w:hint="eastAsia" w:ascii="仿宋" w:hAnsi="仿宋" w:eastAsia="仿宋" w:cs="仿宋"/>
          <w:sz w:val="30"/>
          <w:szCs w:val="30"/>
        </w:rPr>
        <w:t>：重新审视人才培养方案，按照类OBE准则，形成我校设计学类各专业方案制定纲要，并在此指导下，完成2020年各专业人才培养方案；</w:t>
      </w:r>
    </w:p>
    <w:p>
      <w:pPr>
        <w:tabs>
          <w:tab w:val="left" w:pos="2100"/>
        </w:tabs>
        <w:spacing w:line="480" w:lineRule="exac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sz w:val="30"/>
          <w:szCs w:val="30"/>
        </w:rPr>
        <w:t>成果形式：</w:t>
      </w:r>
      <w:r>
        <w:rPr>
          <w:rFonts w:hint="eastAsia" w:ascii="仿宋" w:hAnsi="仿宋" w:eastAsia="仿宋" w:cs="仿宋"/>
          <w:sz w:val="30"/>
          <w:szCs w:val="30"/>
        </w:rPr>
        <w:t>形成各专业人才培养方案</w:t>
      </w:r>
      <w:r>
        <w:rPr>
          <w:rFonts w:ascii="仿宋" w:hAnsi="仿宋" w:eastAsia="仿宋" w:cs="仿宋"/>
          <w:sz w:val="30"/>
          <w:szCs w:val="30"/>
        </w:rPr>
        <w:t xml:space="preserve"> </w:t>
      </w:r>
      <w:r>
        <w:rPr>
          <w:rFonts w:hint="eastAsia" w:ascii="仿宋" w:hAnsi="仿宋" w:eastAsia="仿宋" w:cs="仿宋"/>
          <w:sz w:val="30"/>
          <w:szCs w:val="30"/>
        </w:rPr>
        <w:t>。</w:t>
      </w:r>
    </w:p>
    <w:p>
      <w:pPr>
        <w:tabs>
          <w:tab w:val="left" w:pos="2100"/>
        </w:tabs>
        <w:spacing w:line="480" w:lineRule="exac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sz w:val="30"/>
          <w:szCs w:val="30"/>
        </w:rPr>
        <w:t>整改举措（</w:t>
      </w:r>
      <w:r>
        <w:rPr>
          <w:rFonts w:ascii="仿宋" w:hAnsi="仿宋" w:eastAsia="仿宋" w:cs="仿宋"/>
          <w:b/>
          <w:sz w:val="30"/>
          <w:szCs w:val="30"/>
        </w:rPr>
        <w:t>3</w:t>
      </w:r>
      <w:r>
        <w:rPr>
          <w:rFonts w:hint="eastAsia" w:ascii="仿宋" w:hAnsi="仿宋" w:eastAsia="仿宋" w:cs="仿宋"/>
          <w:b/>
          <w:sz w:val="30"/>
          <w:szCs w:val="30"/>
        </w:rPr>
        <w:t>）：</w:t>
      </w:r>
      <w:r>
        <w:rPr>
          <w:rFonts w:hint="eastAsia" w:ascii="仿宋" w:hAnsi="仿宋" w:eastAsia="仿宋" w:cs="仿宋"/>
          <w:sz w:val="30"/>
          <w:szCs w:val="30"/>
        </w:rPr>
        <w:t>提前谋划并启动2020届毕业生的毕业设计工作，强化对毕业设计工作的领导和监控，八个教学环节的质量关；</w:t>
      </w:r>
    </w:p>
    <w:p>
      <w:pPr>
        <w:tabs>
          <w:tab w:val="left" w:pos="2100"/>
        </w:tabs>
        <w:spacing w:line="480" w:lineRule="exact"/>
        <w:rPr>
          <w:rFonts w:ascii="仿宋" w:hAnsi="仿宋" w:eastAsia="仿宋" w:cs="仿宋"/>
          <w:sz w:val="30"/>
          <w:szCs w:val="30"/>
        </w:rPr>
      </w:pPr>
      <w:r>
        <w:rPr>
          <w:rFonts w:hint="eastAsia" w:ascii="仿宋" w:hAnsi="仿宋" w:eastAsia="仿宋" w:cs="仿宋"/>
          <w:b/>
          <w:sz w:val="30"/>
          <w:szCs w:val="30"/>
        </w:rPr>
        <w:t xml:space="preserve">    时间节点：</w:t>
      </w:r>
      <w:r>
        <w:rPr>
          <w:rFonts w:hint="eastAsia" w:ascii="仿宋" w:hAnsi="仿宋" w:eastAsia="仿宋" w:cs="仿宋"/>
          <w:sz w:val="30"/>
          <w:szCs w:val="30"/>
        </w:rPr>
        <w:t>长期推进</w:t>
      </w:r>
      <w:r>
        <w:rPr>
          <w:rFonts w:ascii="仿宋" w:hAnsi="仿宋" w:eastAsia="仿宋" w:cs="仿宋"/>
          <w:sz w:val="30"/>
          <w:szCs w:val="30"/>
        </w:rPr>
        <w:t xml:space="preserve">           </w:t>
      </w:r>
    </w:p>
    <w:p>
      <w:pPr>
        <w:tabs>
          <w:tab w:val="left" w:pos="2100"/>
        </w:tabs>
        <w:spacing w:line="480" w:lineRule="exact"/>
        <w:rPr>
          <w:rFonts w:ascii="仿宋" w:hAnsi="仿宋" w:eastAsia="仿宋" w:cs="仿宋"/>
          <w:sz w:val="30"/>
          <w:szCs w:val="30"/>
        </w:rPr>
      </w:pPr>
      <w:r>
        <w:rPr>
          <w:rFonts w:hint="eastAsia" w:ascii="仿宋" w:hAnsi="仿宋" w:eastAsia="仿宋" w:cs="仿宋"/>
          <w:b/>
          <w:sz w:val="30"/>
          <w:szCs w:val="30"/>
        </w:rPr>
        <w:t xml:space="preserve">    成果形式：</w:t>
      </w:r>
      <w:r>
        <w:rPr>
          <w:rFonts w:hint="eastAsia" w:ascii="仿宋" w:hAnsi="仿宋" w:eastAsia="仿宋" w:cs="仿宋"/>
          <w:sz w:val="30"/>
          <w:szCs w:val="30"/>
        </w:rPr>
        <w:t>形成机制，做好对毕业设计的领导和监控</w:t>
      </w:r>
      <w:r>
        <w:rPr>
          <w:rFonts w:ascii="仿宋" w:hAnsi="仿宋" w:eastAsia="仿宋" w:cs="仿宋"/>
          <w:sz w:val="30"/>
          <w:szCs w:val="30"/>
        </w:rPr>
        <w:t xml:space="preserve"> </w:t>
      </w:r>
    </w:p>
    <w:p>
      <w:pPr>
        <w:tabs>
          <w:tab w:val="left" w:pos="2100"/>
        </w:tabs>
        <w:spacing w:line="480" w:lineRule="exac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sz w:val="30"/>
          <w:szCs w:val="30"/>
        </w:rPr>
        <w:t>整改举措（</w:t>
      </w:r>
      <w:r>
        <w:rPr>
          <w:rFonts w:ascii="仿宋" w:hAnsi="仿宋" w:eastAsia="仿宋" w:cs="仿宋"/>
          <w:b/>
          <w:sz w:val="30"/>
          <w:szCs w:val="30"/>
        </w:rPr>
        <w:t>4</w:t>
      </w:r>
      <w:r>
        <w:rPr>
          <w:rFonts w:hint="eastAsia" w:ascii="仿宋" w:hAnsi="仿宋" w:eastAsia="仿宋" w:cs="仿宋"/>
          <w:b/>
          <w:sz w:val="30"/>
          <w:szCs w:val="30"/>
        </w:rPr>
        <w:t>）：</w:t>
      </w:r>
      <w:r>
        <w:rPr>
          <w:rFonts w:hint="eastAsia" w:ascii="仿宋" w:hAnsi="仿宋" w:eastAsia="仿宋" w:cs="仿宋"/>
          <w:sz w:val="30"/>
          <w:szCs w:val="30"/>
        </w:rPr>
        <w:t>以“项目综合实践”课程建设为抓手，启动课程大纲制定工作，专题研究各专业应用型设计人才培养措施。</w:t>
      </w:r>
      <w:r>
        <w:rPr>
          <w:rFonts w:hint="eastAsia" w:ascii="仿宋" w:hAnsi="仿宋" w:eastAsia="仿宋" w:cs="仿宋"/>
          <w:b/>
          <w:sz w:val="30"/>
          <w:szCs w:val="30"/>
        </w:rPr>
        <w:t>成果形式：</w:t>
      </w:r>
      <w:r>
        <w:rPr>
          <w:rFonts w:hint="eastAsia" w:ascii="仿宋" w:hAnsi="仿宋" w:eastAsia="仿宋" w:cs="仿宋"/>
          <w:sz w:val="30"/>
          <w:szCs w:val="30"/>
        </w:rPr>
        <w:t>形成各专业应用型设计人才培养的具体措施</w:t>
      </w:r>
      <w:r>
        <w:rPr>
          <w:rFonts w:ascii="仿宋" w:hAnsi="仿宋" w:eastAsia="仿宋" w:cs="仿宋"/>
          <w:sz w:val="30"/>
          <w:szCs w:val="30"/>
        </w:rPr>
        <w:t xml:space="preserve"> </w:t>
      </w:r>
    </w:p>
    <w:p>
      <w:pPr>
        <w:tabs>
          <w:tab w:val="left" w:pos="2100"/>
        </w:tabs>
        <w:spacing w:line="480" w:lineRule="exact"/>
        <w:rPr>
          <w:rFonts w:ascii="仿宋" w:hAnsi="仿宋" w:eastAsia="仿宋" w:cs="仿宋"/>
          <w:sz w:val="30"/>
          <w:szCs w:val="30"/>
        </w:rPr>
      </w:pPr>
      <w:r>
        <w:rPr>
          <w:rFonts w:hint="eastAsia" w:ascii="仿宋" w:hAnsi="仿宋" w:eastAsia="仿宋" w:cs="仿宋"/>
          <w:sz w:val="30"/>
          <w:szCs w:val="30"/>
        </w:rPr>
        <w:t xml:space="preserve">    （5）</w:t>
      </w:r>
      <w:r>
        <w:rPr>
          <w:rFonts w:hint="eastAsia" w:ascii="仿宋" w:hAnsi="仿宋" w:eastAsia="仿宋" w:cs="仿宋"/>
          <w:b/>
          <w:bCs/>
          <w:sz w:val="30"/>
          <w:szCs w:val="30"/>
        </w:rPr>
        <w:t>整改问题五：</w:t>
      </w:r>
      <w:bookmarkStart w:id="0" w:name="_GoBack"/>
      <w:bookmarkEnd w:id="0"/>
      <w:r>
        <w:rPr>
          <w:rFonts w:hint="eastAsia" w:ascii="仿宋" w:hAnsi="仿宋" w:eastAsia="仿宋" w:cs="仿宋"/>
          <w:b/>
          <w:bCs/>
          <w:sz w:val="30"/>
          <w:szCs w:val="30"/>
        </w:rPr>
        <w:t>国际化机构建设为目标，带动国际化建设不够。</w:t>
      </w:r>
    </w:p>
    <w:p>
      <w:pPr>
        <w:tabs>
          <w:tab w:val="left" w:pos="2100"/>
        </w:tabs>
        <w:spacing w:line="480" w:lineRule="exac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sz w:val="30"/>
          <w:szCs w:val="30"/>
        </w:rPr>
        <w:t>整改举措（1）：</w:t>
      </w:r>
      <w:r>
        <w:rPr>
          <w:rFonts w:hint="eastAsia" w:ascii="仿宋" w:hAnsi="仿宋" w:eastAsia="仿宋" w:cs="仿宋"/>
          <w:sz w:val="30"/>
          <w:szCs w:val="30"/>
        </w:rPr>
        <w:t>选取数字媒体艺术设计教育的海外名校，以海外名师项目为平台，积极筹措交流合作项目，从硕士研究生逐步向本科生过渡。未来三年实现规划目标。</w:t>
      </w:r>
    </w:p>
    <w:p>
      <w:pPr>
        <w:tabs>
          <w:tab w:val="left" w:pos="2100"/>
        </w:tabs>
        <w:spacing w:line="480" w:lineRule="exact"/>
        <w:rPr>
          <w:rFonts w:ascii="仿宋" w:hAnsi="仿宋" w:eastAsia="仿宋" w:cs="仿宋"/>
          <w:sz w:val="30"/>
          <w:szCs w:val="30"/>
        </w:rPr>
      </w:pPr>
      <w:r>
        <w:rPr>
          <w:rFonts w:hint="eastAsia" w:ascii="仿宋" w:hAnsi="仿宋" w:eastAsia="仿宋" w:cs="仿宋"/>
          <w:sz w:val="30"/>
          <w:szCs w:val="30"/>
        </w:rPr>
        <w:t>成果形式：中韩多媒体学院申报机构。</w:t>
      </w:r>
    </w:p>
    <w:p>
      <w:pPr>
        <w:tabs>
          <w:tab w:val="left" w:pos="2100"/>
        </w:tabs>
        <w:spacing w:line="480" w:lineRule="exac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sz w:val="30"/>
          <w:szCs w:val="30"/>
        </w:rPr>
        <w:t>整改举措（2）：</w:t>
      </w:r>
      <w:r>
        <w:rPr>
          <w:rFonts w:hint="eastAsia" w:ascii="仿宋" w:hAnsi="仿宋" w:eastAsia="仿宋" w:cs="仿宋"/>
          <w:sz w:val="30"/>
          <w:szCs w:val="30"/>
        </w:rPr>
        <w:t xml:space="preserve">将逐步完成“人间工程”综合实验平台建设。未来将强化与日本国立千叶大学该方向实验室的合作，实现学院优秀硕士研究生攻读博士学位，做到项目无缝对接。           </w:t>
      </w:r>
    </w:p>
    <w:p>
      <w:pPr>
        <w:tabs>
          <w:tab w:val="left" w:pos="2100"/>
        </w:tabs>
        <w:spacing w:line="480" w:lineRule="exact"/>
        <w:rPr>
          <w:rFonts w:ascii="仿宋" w:hAnsi="仿宋" w:eastAsia="仿宋" w:cs="仿宋"/>
          <w:sz w:val="30"/>
          <w:szCs w:val="30"/>
        </w:rPr>
      </w:pPr>
      <w:r>
        <w:rPr>
          <w:rFonts w:hint="eastAsia" w:ascii="仿宋" w:hAnsi="仿宋" w:eastAsia="仿宋" w:cs="仿宋"/>
          <w:sz w:val="30"/>
          <w:szCs w:val="30"/>
        </w:rPr>
        <w:t xml:space="preserve">    成果形式：成立实验室，实现学院优秀硕士研究生进入该校攻读博士学位 </w:t>
      </w:r>
    </w:p>
    <w:p>
      <w:pPr>
        <w:tabs>
          <w:tab w:val="left" w:pos="2100"/>
        </w:tabs>
        <w:spacing w:line="480" w:lineRule="exac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sz w:val="30"/>
          <w:szCs w:val="30"/>
        </w:rPr>
        <w:t>整改举措（3）：</w:t>
      </w:r>
      <w:r>
        <w:rPr>
          <w:rFonts w:hint="eastAsia" w:ascii="仿宋" w:hAnsi="仿宋" w:eastAsia="仿宋" w:cs="仿宋"/>
          <w:sz w:val="30"/>
          <w:szCs w:val="30"/>
        </w:rPr>
        <w:t xml:space="preserve">拓展与英国国家学历学位认证中心合作，认真做好对中国数字媒体艺术专业的人才规格的研究与实践。             </w:t>
      </w:r>
    </w:p>
    <w:p>
      <w:pPr>
        <w:tabs>
          <w:tab w:val="left" w:pos="2100"/>
        </w:tabs>
        <w:spacing w:line="480" w:lineRule="exac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sz w:val="30"/>
          <w:szCs w:val="30"/>
        </w:rPr>
        <w:t>成果形式：</w:t>
      </w:r>
      <w:r>
        <w:rPr>
          <w:rFonts w:hint="eastAsia" w:ascii="仿宋" w:hAnsi="仿宋" w:eastAsia="仿宋" w:cs="仿宋"/>
          <w:sz w:val="30"/>
          <w:szCs w:val="30"/>
        </w:rPr>
        <w:t>成立英国国家学历学位认证中心合作联盟</w:t>
      </w:r>
    </w:p>
    <w:p>
      <w:pPr>
        <w:spacing w:line="600" w:lineRule="atLeast"/>
        <w:ind w:firstLine="602" w:firstLineChars="200"/>
        <w:rPr>
          <w:rFonts w:hint="eastAsia" w:ascii="Times New Roman" w:hAnsi="Times New Roman" w:eastAsia="仿宋" w:cs="Times New Roman"/>
          <w:b/>
          <w:bCs/>
          <w:color w:val="000000" w:themeColor="text1"/>
          <w:sz w:val="30"/>
          <w:szCs w:val="30"/>
        </w:rPr>
      </w:pPr>
    </w:p>
    <w:p>
      <w:pPr>
        <w:spacing w:line="600" w:lineRule="atLeast"/>
        <w:ind w:firstLine="602" w:firstLineChars="200"/>
        <w:rPr>
          <w:rFonts w:ascii="Times New Roman" w:hAnsi="Times New Roman" w:eastAsia="仿宋" w:cs="Times New Roman"/>
          <w:b/>
          <w:bCs/>
          <w:color w:val="000000" w:themeColor="text1"/>
          <w:sz w:val="30"/>
          <w:szCs w:val="30"/>
        </w:rPr>
      </w:pPr>
      <w:r>
        <w:rPr>
          <w:rFonts w:hint="eastAsia" w:ascii="Times New Roman" w:hAnsi="Times New Roman" w:eastAsia="仿宋" w:cs="Times New Roman"/>
          <w:b/>
          <w:bCs/>
          <w:color w:val="000000" w:themeColor="text1"/>
          <w:sz w:val="30"/>
          <w:szCs w:val="30"/>
        </w:rPr>
        <w:t>5.组织领导方面</w:t>
      </w:r>
    </w:p>
    <w:p>
      <w:pPr>
        <w:tabs>
          <w:tab w:val="left" w:pos="2100"/>
        </w:tabs>
        <w:spacing w:line="48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以健全组织领导为基石。</w:t>
      </w:r>
      <w:r>
        <w:rPr>
          <w:rFonts w:hint="eastAsia" w:ascii="仿宋" w:hAnsi="仿宋" w:eastAsia="仿宋" w:cs="仿宋"/>
          <w:sz w:val="30"/>
          <w:szCs w:val="30"/>
        </w:rPr>
        <w:t>学院党委及时成立领导小组和工作办公室，设立了组织组、宣传组、综合组，设立专职联络员，全面统筹推进主题教育工作。领导小组逐步形成“2个一”工作机制，即每日研究“主题教育”工作，确保第一时间将学校党委的要求传达到位，由上自下第一时间掌握主题教育及时情况。目前，学院党委已累计召开工作例会、推进会6场次。同时，学院党委明确学院党委书记和党支部是第一责任人的职责，切实把责任传导到基层，通过不定期材料抽查、访谈提问等措施，压实工作责任，激发工作活力。</w:t>
      </w:r>
    </w:p>
    <w:p>
      <w:pPr>
        <w:tabs>
          <w:tab w:val="left" w:pos="2100"/>
        </w:tabs>
        <w:spacing w:line="480" w:lineRule="exact"/>
        <w:ind w:firstLine="600" w:firstLineChars="200"/>
        <w:rPr>
          <w:rFonts w:ascii="仿宋" w:hAnsi="仿宋" w:eastAsia="仿宋" w:cs="仿宋"/>
          <w:sz w:val="30"/>
          <w:szCs w:val="30"/>
        </w:rPr>
      </w:pPr>
    </w:p>
    <w:p>
      <w:pPr>
        <w:spacing w:line="600" w:lineRule="atLeast"/>
        <w:ind w:firstLine="600" w:firstLineChars="200"/>
        <w:rPr>
          <w:rFonts w:ascii="黑体" w:hAnsi="黑体" w:eastAsia="黑体"/>
          <w:sz w:val="30"/>
          <w:szCs w:val="30"/>
        </w:rPr>
      </w:pPr>
      <w:r>
        <w:rPr>
          <w:rFonts w:hint="eastAsia" w:ascii="黑体" w:hAnsi="黑体" w:eastAsia="黑体"/>
          <w:sz w:val="30"/>
          <w:szCs w:val="30"/>
        </w:rPr>
        <w:t>三、存在的问题和原因分析</w:t>
      </w:r>
    </w:p>
    <w:p>
      <w:pPr>
        <w:tabs>
          <w:tab w:val="left" w:pos="2100"/>
        </w:tabs>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w:t>
      </w:r>
    </w:p>
    <w:p>
      <w:pPr>
        <w:spacing w:line="600" w:lineRule="atLeast"/>
        <w:ind w:firstLine="600" w:firstLineChars="200"/>
        <w:rPr>
          <w:rFonts w:hint="eastAsia" w:ascii="黑体" w:hAnsi="黑体" w:eastAsia="黑体"/>
          <w:sz w:val="30"/>
          <w:szCs w:val="30"/>
        </w:rPr>
      </w:pPr>
    </w:p>
    <w:p>
      <w:pPr>
        <w:spacing w:line="600" w:lineRule="atLeast"/>
        <w:ind w:firstLine="600" w:firstLineChars="200"/>
        <w:rPr>
          <w:rFonts w:ascii="黑体" w:hAnsi="黑体" w:eastAsia="黑体"/>
          <w:sz w:val="30"/>
          <w:szCs w:val="30"/>
        </w:rPr>
      </w:pPr>
      <w:r>
        <w:rPr>
          <w:rFonts w:hint="eastAsia" w:ascii="黑体" w:hAnsi="黑体" w:eastAsia="黑体"/>
          <w:sz w:val="30"/>
          <w:szCs w:val="30"/>
        </w:rPr>
        <w:t>四、后续改进举措</w:t>
      </w:r>
    </w:p>
    <w:p>
      <w:pPr>
        <w:tabs>
          <w:tab w:val="left" w:pos="2100"/>
        </w:tabs>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按照上海市委和学校党委主题教育得有关要求，结合工作实际，补短板强弱项激活力抓落实，结合中心工作，聚焦发展，加强系统研究谋划。立足更高站位、更广视野、更深层次审视各项工作，攻坚克难，不断提升党员干部干事创业的思想水平、境界格局、能力本领。聚焦事关全局和长远的重大改革、重大工程、重大项目、重大政策，出实招、新招、硬招，逐项梳理分解、细化落实各项举措，全力以赴把习近平总书记重要讲话精神转化为推动上海发展和学校学院发展的务实行动，转化为造福广大师生的务实行动，转化为干事创业的务实行动。下一步重点做好以下几个方面工作。</w:t>
      </w:r>
    </w:p>
    <w:p>
      <w:pPr>
        <w:tabs>
          <w:tab w:val="left" w:pos="2100"/>
        </w:tabs>
        <w:spacing w:line="480" w:lineRule="exact"/>
        <w:ind w:firstLine="602" w:firstLineChars="200"/>
        <w:rPr>
          <w:rFonts w:ascii="仿宋" w:hAnsi="仿宋" w:eastAsia="仿宋" w:cs="仿宋"/>
          <w:sz w:val="30"/>
          <w:szCs w:val="30"/>
        </w:rPr>
      </w:pPr>
      <w:r>
        <w:rPr>
          <w:rFonts w:hint="eastAsia" w:ascii="仿宋" w:hAnsi="仿宋" w:eastAsia="仿宋" w:cs="仿宋"/>
          <w:b/>
          <w:bCs/>
          <w:sz w:val="30"/>
          <w:szCs w:val="30"/>
        </w:rPr>
        <w:t>一要召开好专题民主生活会。</w:t>
      </w:r>
      <w:r>
        <w:rPr>
          <w:rFonts w:hint="eastAsia" w:ascii="仿宋" w:hAnsi="仿宋" w:eastAsia="仿宋" w:cs="仿宋"/>
          <w:sz w:val="30"/>
          <w:szCs w:val="30"/>
        </w:rPr>
        <w:t>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tabs>
          <w:tab w:val="left" w:pos="2100"/>
        </w:tabs>
        <w:spacing w:line="480" w:lineRule="exact"/>
        <w:ind w:firstLine="602" w:firstLineChars="200"/>
        <w:rPr>
          <w:rFonts w:ascii="仿宋" w:hAnsi="仿宋" w:eastAsia="仿宋" w:cs="仿宋"/>
          <w:sz w:val="30"/>
          <w:szCs w:val="30"/>
        </w:rPr>
      </w:pPr>
      <w:r>
        <w:rPr>
          <w:rFonts w:hint="eastAsia" w:ascii="仿宋" w:hAnsi="仿宋" w:eastAsia="仿宋" w:cs="仿宋"/>
          <w:b/>
          <w:bCs/>
          <w:sz w:val="30"/>
          <w:szCs w:val="30"/>
        </w:rPr>
        <w:t>二要突出活动特色推进分类指导。</w:t>
      </w:r>
      <w:r>
        <w:rPr>
          <w:rFonts w:hint="eastAsia" w:ascii="仿宋" w:hAnsi="仿宋" w:eastAsia="仿宋" w:cs="仿宋"/>
          <w:sz w:val="30"/>
          <w:szCs w:val="30"/>
        </w:rPr>
        <w:t>第一方面做好11支部书记11“微党课”作为每年“三会一课”的常态，同时纳入到入党积极分子、预备党员和干部培训等教学体系中，创新微党课形式，利用“艺术学院党委微信公众号”等直播模式创建特色教学；第二方面挖掘遴选艺术设计学院党委的“课程思政”与“思政课程”的内容，结合国家战略和上海要求构建“三全育人”体系；第三方面做好党建基地建设，构建常态化的《伟大工程》示范党课教学实践基地，如：G60车墩镇党委、吴泾镇党委、上海科技影都、进博会（东方国际和东浩兰生）“6+365”和上海市科委数字化平台等。</w:t>
      </w:r>
    </w:p>
    <w:p>
      <w:pPr>
        <w:tabs>
          <w:tab w:val="left" w:pos="2100"/>
        </w:tabs>
        <w:spacing w:line="48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三要及时</w:t>
      </w:r>
      <w:r>
        <w:fldChar w:fldCharType="begin"/>
      </w:r>
      <w:r>
        <w:instrText xml:space="preserve"> HYPERLINK "http://www.850500.com/fanwendaquan/gongzuozongjie/" \t "http://www.850500.com/news/_blank" </w:instrText>
      </w:r>
      <w:r>
        <w:fldChar w:fldCharType="separate"/>
      </w:r>
      <w:r>
        <w:rPr>
          <w:rFonts w:hint="eastAsia" w:ascii="仿宋" w:hAnsi="仿宋" w:eastAsia="仿宋" w:cs="仿宋"/>
          <w:b/>
          <w:bCs/>
          <w:sz w:val="30"/>
          <w:szCs w:val="30"/>
        </w:rPr>
        <w:t>总结</w:t>
      </w:r>
      <w:r>
        <w:rPr>
          <w:rFonts w:hint="eastAsia" w:ascii="仿宋" w:hAnsi="仿宋" w:eastAsia="仿宋" w:cs="仿宋"/>
          <w:b/>
          <w:bCs/>
          <w:sz w:val="30"/>
          <w:szCs w:val="30"/>
        </w:rPr>
        <w:fldChar w:fldCharType="end"/>
      </w:r>
      <w:r>
        <w:rPr>
          <w:rFonts w:hint="eastAsia" w:ascii="仿宋" w:hAnsi="仿宋" w:eastAsia="仿宋" w:cs="仿宋"/>
          <w:b/>
          <w:bCs/>
          <w:sz w:val="30"/>
          <w:szCs w:val="30"/>
        </w:rPr>
        <w:t>好做法好经验。</w:t>
      </w:r>
      <w:r>
        <w:rPr>
          <w:rFonts w:hint="eastAsia" w:ascii="仿宋" w:hAnsi="仿宋" w:eastAsia="仿宋" w:cs="仿宋"/>
          <w:sz w:val="30"/>
          <w:szCs w:val="30"/>
        </w:rPr>
        <w:t>要及时总结主题教育取得的经验，注重挖掘和发现在主题教育中出现的新经验、新做法的提炼完善，将主题教育期间的一些好做法用制度的形式固定下来，长久的坚持下去，确保主题教育取得实实在在的成效。</w:t>
      </w:r>
    </w:p>
    <w:p>
      <w:pPr>
        <w:tabs>
          <w:tab w:val="left" w:pos="2100"/>
        </w:tabs>
        <w:spacing w:line="480" w:lineRule="exact"/>
        <w:ind w:firstLine="600" w:firstLineChars="200"/>
        <w:rPr>
          <w:rFonts w:ascii="黑体" w:hAnsi="黑体" w:eastAsia="黑体"/>
          <w:sz w:val="30"/>
          <w:szCs w:val="30"/>
        </w:rPr>
      </w:pPr>
    </w:p>
    <w:p>
      <w:pPr>
        <w:numPr>
          <w:ilvl w:val="0"/>
          <w:numId w:val="3"/>
        </w:numPr>
        <w:spacing w:line="600" w:lineRule="atLeast"/>
        <w:ind w:firstLine="600" w:firstLineChars="200"/>
        <w:rPr>
          <w:rFonts w:ascii="仿宋" w:hAnsi="仿宋" w:eastAsia="仿宋" w:cs="仿宋"/>
          <w:sz w:val="30"/>
          <w:szCs w:val="30"/>
        </w:rPr>
      </w:pPr>
      <w:r>
        <w:rPr>
          <w:rFonts w:hint="eastAsia" w:ascii="黑体" w:hAnsi="黑体" w:eastAsia="黑体"/>
          <w:sz w:val="30"/>
          <w:szCs w:val="30"/>
        </w:rPr>
        <w:t>意见建议</w:t>
      </w:r>
    </w:p>
    <w:p>
      <w:pPr>
        <w:tabs>
          <w:tab w:val="left" w:pos="2100"/>
        </w:tabs>
        <w:spacing w:line="480" w:lineRule="exact"/>
        <w:ind w:firstLine="600" w:firstLineChars="200"/>
        <w:rPr>
          <w:rFonts w:ascii="仿宋" w:hAnsi="仿宋" w:eastAsia="仿宋" w:cs="仿宋"/>
          <w:sz w:val="30"/>
          <w:szCs w:val="30"/>
        </w:rPr>
      </w:pPr>
      <w:r>
        <w:rPr>
          <w:rFonts w:hint="eastAsia" w:ascii="仿宋" w:hAnsi="仿宋" w:eastAsia="仿宋" w:cs="仿宋"/>
          <w:sz w:val="30"/>
          <w:szCs w:val="30"/>
        </w:rPr>
        <w:t>继续认真贯彻党中央决策部署，以习近平总书记关于“四个到位”的重要指示精神为推进学院党委主题教育的重要指南。一方面围绕“思想认识到位”，突出“深”和“广”，一方面如何针对学习研讨发言思想性不强、自学质量不高等问题，更加精准化指导，确保主题教育不跑偏不走样；另一方面围绕增强学院与学院、学院与企业之间的联组学习。使得推进主题教育更精准、更到位、更富成效。</w:t>
      </w:r>
    </w:p>
    <w:p>
      <w:pPr>
        <w:tabs>
          <w:tab w:val="left" w:pos="2100"/>
        </w:tabs>
        <w:spacing w:line="480" w:lineRule="exact"/>
        <w:ind w:firstLine="600" w:firstLineChars="200"/>
        <w:rPr>
          <w:rFonts w:ascii="仿宋" w:hAnsi="仿宋" w:eastAsia="仿宋" w:cs="仿宋"/>
          <w:sz w:val="30"/>
          <w:szCs w:val="30"/>
        </w:rPr>
      </w:pPr>
    </w:p>
    <w:p>
      <w:pPr>
        <w:tabs>
          <w:tab w:val="left" w:pos="2100"/>
        </w:tabs>
        <w:spacing w:line="480" w:lineRule="exact"/>
        <w:ind w:firstLine="600" w:firstLineChars="200"/>
        <w:rPr>
          <w:rFonts w:ascii="仿宋" w:hAnsi="仿宋" w:eastAsia="仿宋" w:cs="仿宋"/>
          <w:sz w:val="30"/>
          <w:szCs w:val="30"/>
        </w:rPr>
      </w:pPr>
    </w:p>
    <w:p>
      <w:pPr>
        <w:tabs>
          <w:tab w:val="left" w:pos="2100"/>
        </w:tabs>
        <w:spacing w:line="480" w:lineRule="exact"/>
        <w:ind w:firstLine="602" w:firstLineChars="200"/>
        <w:jc w:val="right"/>
        <w:rPr>
          <w:rFonts w:hint="eastAsia" w:ascii="仿宋" w:hAnsi="仿宋" w:eastAsia="仿宋" w:cs="仿宋"/>
          <w:b/>
          <w:sz w:val="30"/>
          <w:szCs w:val="30"/>
        </w:rPr>
      </w:pPr>
      <w:r>
        <w:rPr>
          <w:rFonts w:hint="eastAsia" w:ascii="仿宋" w:hAnsi="仿宋" w:eastAsia="仿宋" w:cs="仿宋"/>
          <w:b/>
          <w:sz w:val="30"/>
          <w:szCs w:val="30"/>
        </w:rPr>
        <w:t>艺术设计学院党委</w:t>
      </w:r>
    </w:p>
    <w:p>
      <w:pPr>
        <w:tabs>
          <w:tab w:val="left" w:pos="2100"/>
        </w:tabs>
        <w:spacing w:line="480" w:lineRule="exact"/>
        <w:ind w:firstLine="602" w:firstLineChars="200"/>
        <w:jc w:val="right"/>
        <w:rPr>
          <w:rFonts w:ascii="仿宋" w:hAnsi="仿宋" w:eastAsia="仿宋" w:cs="仿宋"/>
          <w:b/>
          <w:sz w:val="30"/>
          <w:szCs w:val="30"/>
        </w:rPr>
      </w:pPr>
      <w:r>
        <w:rPr>
          <w:rFonts w:hint="eastAsia" w:ascii="仿宋" w:hAnsi="仿宋" w:eastAsia="仿宋" w:cs="仿宋"/>
          <w:b/>
          <w:sz w:val="30"/>
          <w:szCs w:val="30"/>
        </w:rPr>
        <w:t>2019.11.18</w:t>
      </w:r>
    </w:p>
    <w:p>
      <w:pPr>
        <w:tabs>
          <w:tab w:val="left" w:pos="2100"/>
        </w:tabs>
        <w:spacing w:line="480" w:lineRule="exact"/>
        <w:ind w:firstLine="600" w:firstLineChars="200"/>
        <w:rPr>
          <w:rFonts w:ascii="仿宋" w:hAnsi="仿宋" w:eastAsia="仿宋" w:cs="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98555"/>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156B9"/>
    <w:multiLevelType w:val="singleLevel"/>
    <w:tmpl w:val="16E156B9"/>
    <w:lvl w:ilvl="0" w:tentative="0">
      <w:start w:val="2"/>
      <w:numFmt w:val="chineseCounting"/>
      <w:suff w:val="nothing"/>
      <w:lvlText w:val="%1、"/>
      <w:lvlJc w:val="left"/>
      <w:rPr>
        <w:rFonts w:hint="eastAsia"/>
      </w:rPr>
    </w:lvl>
  </w:abstractNum>
  <w:abstractNum w:abstractNumId="1">
    <w:nsid w:val="1BA1F2CD"/>
    <w:multiLevelType w:val="singleLevel"/>
    <w:tmpl w:val="1BA1F2CD"/>
    <w:lvl w:ilvl="0" w:tentative="0">
      <w:start w:val="5"/>
      <w:numFmt w:val="chineseCounting"/>
      <w:suff w:val="nothing"/>
      <w:lvlText w:val="%1、"/>
      <w:lvlJc w:val="left"/>
      <w:rPr>
        <w:rFonts w:hint="eastAsia"/>
      </w:rPr>
    </w:lvl>
  </w:abstractNum>
  <w:abstractNum w:abstractNumId="2">
    <w:nsid w:val="39BB4D1F"/>
    <w:multiLevelType w:val="singleLevel"/>
    <w:tmpl w:val="39BB4D1F"/>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B5FE9"/>
    <w:rsid w:val="00004E21"/>
    <w:rsid w:val="000368B1"/>
    <w:rsid w:val="00041776"/>
    <w:rsid w:val="000D139E"/>
    <w:rsid w:val="000E4D0A"/>
    <w:rsid w:val="001354EE"/>
    <w:rsid w:val="001B0343"/>
    <w:rsid w:val="001B336E"/>
    <w:rsid w:val="001B711B"/>
    <w:rsid w:val="002F2873"/>
    <w:rsid w:val="002F446C"/>
    <w:rsid w:val="00326431"/>
    <w:rsid w:val="00326716"/>
    <w:rsid w:val="00375CAB"/>
    <w:rsid w:val="00391F4F"/>
    <w:rsid w:val="00400CA9"/>
    <w:rsid w:val="00440B5A"/>
    <w:rsid w:val="00450A81"/>
    <w:rsid w:val="00471ED4"/>
    <w:rsid w:val="00477366"/>
    <w:rsid w:val="004D483A"/>
    <w:rsid w:val="00525DA8"/>
    <w:rsid w:val="00530D30"/>
    <w:rsid w:val="005318C7"/>
    <w:rsid w:val="005519F2"/>
    <w:rsid w:val="00566E02"/>
    <w:rsid w:val="005839ED"/>
    <w:rsid w:val="0059062F"/>
    <w:rsid w:val="005F3EE5"/>
    <w:rsid w:val="00655DB3"/>
    <w:rsid w:val="006A3D8A"/>
    <w:rsid w:val="006B5FE9"/>
    <w:rsid w:val="006D24CA"/>
    <w:rsid w:val="00750DA7"/>
    <w:rsid w:val="007A422B"/>
    <w:rsid w:val="007C0649"/>
    <w:rsid w:val="007E0845"/>
    <w:rsid w:val="00812045"/>
    <w:rsid w:val="00815CCF"/>
    <w:rsid w:val="008B6161"/>
    <w:rsid w:val="0097390E"/>
    <w:rsid w:val="00990AB9"/>
    <w:rsid w:val="009A4D3E"/>
    <w:rsid w:val="009D39CA"/>
    <w:rsid w:val="009E3349"/>
    <w:rsid w:val="00AA4417"/>
    <w:rsid w:val="00C06D14"/>
    <w:rsid w:val="00C17111"/>
    <w:rsid w:val="00CB1FD7"/>
    <w:rsid w:val="00CE6F84"/>
    <w:rsid w:val="00D15C42"/>
    <w:rsid w:val="00D351B1"/>
    <w:rsid w:val="00D619BF"/>
    <w:rsid w:val="00DB5A21"/>
    <w:rsid w:val="00DC2A4A"/>
    <w:rsid w:val="00E245B7"/>
    <w:rsid w:val="00E476EC"/>
    <w:rsid w:val="00EC3B82"/>
    <w:rsid w:val="00F40885"/>
    <w:rsid w:val="00F67F24"/>
    <w:rsid w:val="00FD20AA"/>
    <w:rsid w:val="00FD5065"/>
    <w:rsid w:val="03830287"/>
    <w:rsid w:val="052A2A7E"/>
    <w:rsid w:val="05E06022"/>
    <w:rsid w:val="07F541BF"/>
    <w:rsid w:val="082A5454"/>
    <w:rsid w:val="0AE059D0"/>
    <w:rsid w:val="0E2769D5"/>
    <w:rsid w:val="0E6632EF"/>
    <w:rsid w:val="0EF1539D"/>
    <w:rsid w:val="0FD92037"/>
    <w:rsid w:val="11E074F1"/>
    <w:rsid w:val="12F363F1"/>
    <w:rsid w:val="13DC6A94"/>
    <w:rsid w:val="147F15C6"/>
    <w:rsid w:val="14DF3F70"/>
    <w:rsid w:val="1533010C"/>
    <w:rsid w:val="15763038"/>
    <w:rsid w:val="16C50C65"/>
    <w:rsid w:val="186806A0"/>
    <w:rsid w:val="1A504568"/>
    <w:rsid w:val="1AB60360"/>
    <w:rsid w:val="1B3C44D8"/>
    <w:rsid w:val="1C4C7AD9"/>
    <w:rsid w:val="1C740628"/>
    <w:rsid w:val="1C7E2FAE"/>
    <w:rsid w:val="1D131F7F"/>
    <w:rsid w:val="1D9D37AE"/>
    <w:rsid w:val="1DDE6C6A"/>
    <w:rsid w:val="1E0B0A37"/>
    <w:rsid w:val="1FC121A5"/>
    <w:rsid w:val="208B1573"/>
    <w:rsid w:val="2190502A"/>
    <w:rsid w:val="25AE70C5"/>
    <w:rsid w:val="260F470E"/>
    <w:rsid w:val="27594D94"/>
    <w:rsid w:val="28A00AFB"/>
    <w:rsid w:val="28AE7ECF"/>
    <w:rsid w:val="2A764AC6"/>
    <w:rsid w:val="2B4D304F"/>
    <w:rsid w:val="2BF42D12"/>
    <w:rsid w:val="2CE024E5"/>
    <w:rsid w:val="2E656259"/>
    <w:rsid w:val="30453588"/>
    <w:rsid w:val="305D019C"/>
    <w:rsid w:val="31733E01"/>
    <w:rsid w:val="32871349"/>
    <w:rsid w:val="339A234D"/>
    <w:rsid w:val="34DC3874"/>
    <w:rsid w:val="37881BF6"/>
    <w:rsid w:val="37894973"/>
    <w:rsid w:val="3884005C"/>
    <w:rsid w:val="398470BB"/>
    <w:rsid w:val="398F3848"/>
    <w:rsid w:val="399632B4"/>
    <w:rsid w:val="3B4075BF"/>
    <w:rsid w:val="3BE055A0"/>
    <w:rsid w:val="3BEF1001"/>
    <w:rsid w:val="3C3B66D8"/>
    <w:rsid w:val="3DA94E48"/>
    <w:rsid w:val="3DB02C0F"/>
    <w:rsid w:val="3DC921B6"/>
    <w:rsid w:val="3F7610C3"/>
    <w:rsid w:val="404A7CE2"/>
    <w:rsid w:val="407545BC"/>
    <w:rsid w:val="40985D7B"/>
    <w:rsid w:val="49A30354"/>
    <w:rsid w:val="4A13525A"/>
    <w:rsid w:val="4CB9243B"/>
    <w:rsid w:val="4D46497C"/>
    <w:rsid w:val="4E0D3B85"/>
    <w:rsid w:val="4E2945BD"/>
    <w:rsid w:val="50076CE5"/>
    <w:rsid w:val="50637B6A"/>
    <w:rsid w:val="521B2826"/>
    <w:rsid w:val="534743FA"/>
    <w:rsid w:val="534956A0"/>
    <w:rsid w:val="54874CB3"/>
    <w:rsid w:val="5531543C"/>
    <w:rsid w:val="556D6A81"/>
    <w:rsid w:val="56415AE3"/>
    <w:rsid w:val="585826EF"/>
    <w:rsid w:val="59DA11B6"/>
    <w:rsid w:val="5A9C45B5"/>
    <w:rsid w:val="5C7B504F"/>
    <w:rsid w:val="60654DB0"/>
    <w:rsid w:val="60902F0D"/>
    <w:rsid w:val="61B26C4C"/>
    <w:rsid w:val="61E9598C"/>
    <w:rsid w:val="63317553"/>
    <w:rsid w:val="6533412E"/>
    <w:rsid w:val="66C237C6"/>
    <w:rsid w:val="69417BFD"/>
    <w:rsid w:val="6C9A479B"/>
    <w:rsid w:val="6D2730C7"/>
    <w:rsid w:val="6DF73A83"/>
    <w:rsid w:val="6E7707B7"/>
    <w:rsid w:val="6F151F7B"/>
    <w:rsid w:val="72483529"/>
    <w:rsid w:val="73037C83"/>
    <w:rsid w:val="736A630F"/>
    <w:rsid w:val="753C771F"/>
    <w:rsid w:val="75C17F52"/>
    <w:rsid w:val="78C446A7"/>
    <w:rsid w:val="792B3307"/>
    <w:rsid w:val="7A290841"/>
    <w:rsid w:val="7A5842E4"/>
    <w:rsid w:val="7B3C3EE7"/>
    <w:rsid w:val="7C983783"/>
    <w:rsid w:val="7CEB2F16"/>
    <w:rsid w:val="7D3F6630"/>
    <w:rsid w:val="7E1E5A56"/>
    <w:rsid w:val="7F323960"/>
    <w:rsid w:val="7FFF00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rFonts w:hint="eastAsia" w:ascii="微软雅黑" w:hAnsi="微软雅黑" w:eastAsia="微软雅黑" w:cs="微软雅黑"/>
      <w:color w:val="2F2F2F"/>
      <w:sz w:val="21"/>
      <w:szCs w:val="21"/>
      <w:u w:val="none"/>
    </w:rPr>
  </w:style>
  <w:style w:type="character" w:styleId="9">
    <w:name w:val="Hyperlink"/>
    <w:basedOn w:val="6"/>
    <w:semiHidden/>
    <w:unhideWhenUsed/>
    <w:qFormat/>
    <w:uiPriority w:val="99"/>
    <w:rPr>
      <w:rFonts w:hint="eastAsia" w:ascii="微软雅黑" w:hAnsi="微软雅黑" w:eastAsia="微软雅黑" w:cs="微软雅黑"/>
      <w:color w:val="2F2F2F"/>
      <w:sz w:val="21"/>
      <w:szCs w:val="21"/>
      <w:u w:val="none"/>
    </w:rPr>
  </w:style>
  <w:style w:type="paragraph" w:styleId="10">
    <w:name w:val="List Paragraph"/>
    <w:basedOn w:val="1"/>
    <w:qFormat/>
    <w:uiPriority w:val="34"/>
    <w:pPr>
      <w:ind w:firstLine="420" w:firstLineChars="200"/>
    </w:pPr>
  </w:style>
  <w:style w:type="character" w:customStyle="1" w:styleId="11">
    <w:name w:val="页眉 Char"/>
    <w:basedOn w:val="6"/>
    <w:link w:val="3"/>
    <w:semiHidden/>
    <w:uiPriority w:val="99"/>
    <w:rPr>
      <w:sz w:val="18"/>
      <w:szCs w:val="18"/>
    </w:rPr>
  </w:style>
  <w:style w:type="character" w:customStyle="1" w:styleId="12">
    <w:name w:val="页脚 Char"/>
    <w:basedOn w:val="6"/>
    <w:link w:val="2"/>
    <w:qFormat/>
    <w:uiPriority w:val="99"/>
    <w:rPr>
      <w:sz w:val="18"/>
      <w:szCs w:val="18"/>
    </w:rPr>
  </w:style>
  <w:style w:type="character" w:customStyle="1" w:styleId="13">
    <w:name w:val="pubdate-month"/>
    <w:basedOn w:val="6"/>
    <w:uiPriority w:val="0"/>
    <w:rPr>
      <w:color w:val="FFFFFF"/>
      <w:sz w:val="24"/>
      <w:szCs w:val="24"/>
      <w:shd w:val="clear" w:color="auto" w:fill="CC0000"/>
    </w:rPr>
  </w:style>
  <w:style w:type="character" w:customStyle="1" w:styleId="14">
    <w:name w:val="item-name"/>
    <w:basedOn w:val="6"/>
    <w:qFormat/>
    <w:uiPriority w:val="0"/>
    <w:rPr>
      <w:color w:val="FFFFFF"/>
    </w:rPr>
  </w:style>
  <w:style w:type="character" w:customStyle="1" w:styleId="15">
    <w:name w:val="item-name1"/>
    <w:basedOn w:val="6"/>
    <w:qFormat/>
    <w:uiPriority w:val="0"/>
  </w:style>
  <w:style w:type="character" w:customStyle="1" w:styleId="16">
    <w:name w:val="item-name2"/>
    <w:basedOn w:val="6"/>
    <w:qFormat/>
    <w:uiPriority w:val="0"/>
  </w:style>
  <w:style w:type="character" w:customStyle="1" w:styleId="17">
    <w:name w:val="pubdate-day"/>
    <w:basedOn w:val="6"/>
    <w:qFormat/>
    <w:uiPriority w:val="0"/>
    <w:rPr>
      <w:shd w:val="clear" w:color="auto" w:fill="F2F2F2"/>
    </w:rPr>
  </w:style>
  <w:style w:type="character" w:customStyle="1" w:styleId="18">
    <w:name w:val="wzly"/>
    <w:basedOn w:val="6"/>
    <w:qFormat/>
    <w:uiPriority w:val="0"/>
    <w:rPr>
      <w:vanish/>
    </w:rPr>
  </w:style>
  <w:style w:type="character" w:customStyle="1" w:styleId="19">
    <w:name w:val="xubox_tabnow"/>
    <w:basedOn w:val="6"/>
    <w:uiPriority w:val="0"/>
    <w:rPr>
      <w:bdr w:val="single" w:color="CCCCCC" w:sz="6" w:space="0"/>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1022</Words>
  <Characters>5828</Characters>
  <Lines>48</Lines>
  <Paragraphs>13</Paragraphs>
  <TotalTime>10</TotalTime>
  <ScaleCrop>false</ScaleCrop>
  <LinksUpToDate>false</LinksUpToDate>
  <CharactersWithSpaces>6837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2019-11-19T16:34:00Z</dcterms:created>
  <dc:creator>01720059</dc:creator>
  <cp:lastModifiedBy>xx</cp:lastModifiedBy>
  <cp:lastPrinted>2019-08-15T06:08:00Z</cp:lastPrinted>
  <dcterms:modified xsi:type="dcterms:W3CDTF">2019-11-25T12:22:58Z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